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w:t>
      </w:r>
      <w:r w:rsidR="00C847B7">
        <w:rPr>
          <w:rFonts w:asciiTheme="minorHAnsi" w:hAnsiTheme="minorHAnsi"/>
          <w:b/>
        </w:rPr>
        <w:t>mówień publicznych /</w:t>
      </w:r>
      <w:proofErr w:type="spellStart"/>
      <w:r w:rsidR="001321D5">
        <w:rPr>
          <w:rFonts w:asciiTheme="minorHAnsi" w:hAnsiTheme="minorHAnsi"/>
          <w:b/>
        </w:rPr>
        <w:t>t.j</w:t>
      </w:r>
      <w:proofErr w:type="spellEnd"/>
      <w:r w:rsidR="001321D5">
        <w:rPr>
          <w:rFonts w:asciiTheme="minorHAnsi" w:hAnsiTheme="minorHAnsi"/>
          <w:b/>
        </w:rPr>
        <w:t>. Dz.U. z 201</w:t>
      </w:r>
      <w:r w:rsidR="00964E47">
        <w:rPr>
          <w:rFonts w:asciiTheme="minorHAnsi" w:hAnsiTheme="minorHAnsi"/>
          <w:b/>
        </w:rPr>
        <w:t>9</w:t>
      </w:r>
      <w:r w:rsidR="001321D5">
        <w:rPr>
          <w:rFonts w:asciiTheme="minorHAnsi" w:hAnsiTheme="minorHAnsi"/>
          <w:b/>
        </w:rPr>
        <w:t xml:space="preserve"> r., poz. </w:t>
      </w:r>
      <w:r w:rsidR="00964E47">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D2D11">
        <w:rPr>
          <w:rFonts w:asciiTheme="minorHAnsi" w:hAnsiTheme="minorHAnsi"/>
          <w:b/>
        </w:rPr>
        <w:t>350</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64E47">
        <w:rPr>
          <w:rFonts w:asciiTheme="minorHAnsi" w:hAnsiTheme="minorHAnsi"/>
          <w:lang w:val="de-DE"/>
        </w:rPr>
        <w:t>: BI.I</w:t>
      </w:r>
      <w:r w:rsidR="00205671">
        <w:rPr>
          <w:rFonts w:asciiTheme="minorHAnsi" w:hAnsiTheme="minorHAnsi"/>
          <w:lang w:val="de-DE"/>
        </w:rPr>
        <w:t>.271.</w:t>
      </w:r>
      <w:r w:rsidR="0092596F">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20</w:t>
      </w:r>
      <w:r w:rsidR="00964E47">
        <w:rPr>
          <w:rFonts w:asciiTheme="minorHAnsi" w:hAnsiTheme="minorHAnsi"/>
          <w:lang w:val="de-DE"/>
        </w:rPr>
        <w:t>20</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15719A" w:rsidRPr="00CB1E53" w:rsidRDefault="0015719A" w:rsidP="00CB1E53">
      <w:pPr>
        <w:pStyle w:val="Akapitzlist"/>
        <w:spacing w:after="0" w:line="240" w:lineRule="auto"/>
        <w:ind w:left="360"/>
        <w:jc w:val="center"/>
        <w:rPr>
          <w:rFonts w:cstheme="minorHAnsi"/>
          <w:b/>
          <w:sz w:val="28"/>
          <w:szCs w:val="28"/>
          <w:u w:val="single"/>
        </w:rPr>
      </w:pPr>
      <w:r w:rsidRPr="00CB1E53">
        <w:rPr>
          <w:rFonts w:cstheme="minorHAnsi"/>
          <w:b/>
          <w:sz w:val="28"/>
          <w:szCs w:val="28"/>
          <w:u w:val="single"/>
        </w:rPr>
        <w:t>„Budowa drogi gminnej w kierunku strefy przemysłowej w km 0+000 do km 0+914 w miejscowości Podborze wraz z budową skrzyżowania i niezbędną infrastrukturą”</w:t>
      </w:r>
    </w:p>
    <w:p w:rsidR="00B56D2A" w:rsidRPr="0015719A" w:rsidRDefault="00B56D2A" w:rsidP="00964E47">
      <w:pPr>
        <w:jc w:val="center"/>
        <w:rPr>
          <w:rFonts w:ascii="Arial Black" w:hAnsi="Arial Black" w:cstheme="minorHAnsi"/>
          <w:b/>
          <w:bCs/>
          <w:sz w:val="28"/>
          <w:szCs w:val="28"/>
        </w:rPr>
      </w:pPr>
    </w:p>
    <w:p w:rsidR="0085762A" w:rsidRPr="00205671" w:rsidRDefault="0085762A" w:rsidP="00205671">
      <w:pPr>
        <w:jc w:val="cente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D323F1" w:rsidRDefault="00E013D0" w:rsidP="00E013D0">
      <w:pPr>
        <w:pStyle w:val="Akapitzlist"/>
        <w:numPr>
          <w:ilvl w:val="0"/>
          <w:numId w:val="39"/>
        </w:numPr>
        <w:spacing w:after="0" w:line="240" w:lineRule="auto"/>
        <w:jc w:val="both"/>
      </w:pPr>
      <w:r w:rsidRPr="0049660E">
        <w:t xml:space="preserve">Oświadczenie o przynależności lub braku przynależności do grupy kapitałowej – </w:t>
      </w:r>
    </w:p>
    <w:p w:rsidR="00E013D0" w:rsidRDefault="00E013D0" w:rsidP="00D323F1">
      <w:pPr>
        <w:pStyle w:val="Akapitzlist"/>
        <w:spacing w:after="0" w:line="240" w:lineRule="auto"/>
        <w:ind w:left="1068"/>
        <w:jc w:val="both"/>
      </w:pPr>
      <w:r w:rsidRPr="0049660E">
        <w:t>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E013D0">
        <w:t>bót budowlanych – Załącznik nr 4</w:t>
      </w:r>
    </w:p>
    <w:p w:rsidR="0014029A" w:rsidRDefault="00E013D0" w:rsidP="00322476">
      <w:pPr>
        <w:pStyle w:val="Akapitzlist"/>
        <w:numPr>
          <w:ilvl w:val="0"/>
          <w:numId w:val="39"/>
        </w:numPr>
        <w:spacing w:after="0" w:line="240" w:lineRule="auto"/>
        <w:jc w:val="both"/>
      </w:pPr>
      <w:r>
        <w:t>Wykaz osób- Załącznik nr 5</w:t>
      </w:r>
    </w:p>
    <w:p w:rsidR="00E716EF" w:rsidRPr="0049660E" w:rsidRDefault="00E013D0" w:rsidP="00322476">
      <w:pPr>
        <w:pStyle w:val="Akapitzlist"/>
        <w:numPr>
          <w:ilvl w:val="0"/>
          <w:numId w:val="39"/>
        </w:numPr>
        <w:spacing w:after="0" w:line="240" w:lineRule="auto"/>
        <w:jc w:val="both"/>
      </w:pPr>
      <w:r>
        <w:t>Wykaz narzędzi- Załącznik nr 6</w:t>
      </w:r>
    </w:p>
    <w:p w:rsidR="00FE25C4" w:rsidRPr="0049660E" w:rsidRDefault="00E45674" w:rsidP="00322476">
      <w:pPr>
        <w:pStyle w:val="Akapitzlist"/>
        <w:numPr>
          <w:ilvl w:val="0"/>
          <w:numId w:val="39"/>
        </w:numPr>
        <w:spacing w:after="0" w:line="240" w:lineRule="auto"/>
        <w:jc w:val="both"/>
      </w:pPr>
      <w:r w:rsidRPr="0049660E">
        <w:t xml:space="preserve">Oświadczenie o możliwości wykonania badań laboratoryjnych </w:t>
      </w:r>
      <w:r w:rsidR="00E013D0">
        <w:t>wymaganych w SST- Załącznik nr 7</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15719A">
        <w:rPr>
          <w:b/>
        </w:rPr>
        <w:t>2</w:t>
      </w:r>
      <w:r w:rsidR="00383076">
        <w:rPr>
          <w:b/>
        </w:rPr>
        <w:t>3</w:t>
      </w:r>
      <w:r w:rsidR="00DD2D11">
        <w:rPr>
          <w:b/>
        </w:rPr>
        <w:t>.</w:t>
      </w:r>
      <w:r w:rsidR="00EE72FE">
        <w:rPr>
          <w:b/>
        </w:rPr>
        <w:t>04</w:t>
      </w:r>
      <w:r w:rsidR="007E265D">
        <w:rPr>
          <w:b/>
        </w:rPr>
        <w:t>.2020</w:t>
      </w:r>
      <w:r w:rsidRPr="006C66E3">
        <w:rPr>
          <w:b/>
        </w:rPr>
        <w:t xml:space="preserve"> r.</w:t>
      </w:r>
    </w:p>
    <w:p w:rsidR="000E753A" w:rsidRDefault="000E753A"/>
    <w:p w:rsidR="00BB6E65" w:rsidRDefault="00BB6E65"/>
    <w:p w:rsidR="001278F7" w:rsidRDefault="001278F7" w:rsidP="00BB6E65">
      <w:pPr>
        <w:spacing w:after="0"/>
        <w:jc w:val="right"/>
      </w:pPr>
      <w:r>
        <w:t>…………………………………………………………………</w:t>
      </w:r>
    </w:p>
    <w:p w:rsidR="000E753A" w:rsidRDefault="000E753A" w:rsidP="00BB6E65">
      <w:pPr>
        <w:spacing w:after="0"/>
        <w:jc w:val="right"/>
      </w:pPr>
      <w:r>
        <w:t>Podpis Kierownika Zamawiającego</w:t>
      </w:r>
    </w:p>
    <w:p w:rsidR="00C77DE1" w:rsidRDefault="00C77DE1"/>
    <w:p w:rsidR="00C03225" w:rsidRDefault="00C03225"/>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EA4AA9" w:rsidP="00C80942">
      <w:pPr>
        <w:spacing w:after="0"/>
        <w:rPr>
          <w:b/>
        </w:rPr>
      </w:pPr>
      <w:r>
        <w:rPr>
          <w:b/>
        </w:rPr>
        <w:t>u</w:t>
      </w:r>
      <w:r w:rsidR="00C80942" w:rsidRPr="00F61CC8">
        <w:rPr>
          <w:b/>
        </w:rPr>
        <w:t>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1321D5">
        <w:t>znych (tekst jedn. Dz. U. z 201</w:t>
      </w:r>
      <w:r w:rsidR="002E208F">
        <w:t>9</w:t>
      </w:r>
      <w:r w:rsidR="001321D5">
        <w:t xml:space="preserve"> r., poz. </w:t>
      </w:r>
      <w:r w:rsidR="002E208F">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2E208F">
        <w:t>9</w:t>
      </w:r>
      <w:r w:rsidRPr="00C80942">
        <w:t xml:space="preserve"> r., poz. </w:t>
      </w:r>
      <w:r w:rsidR="002E208F">
        <w:t>1145</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15719A" w:rsidRPr="00F85D6A" w:rsidRDefault="008D1A3A" w:rsidP="00F85D6A">
      <w:pPr>
        <w:pStyle w:val="Akapitzlist"/>
        <w:spacing w:after="0" w:line="240" w:lineRule="auto"/>
        <w:ind w:left="360"/>
        <w:jc w:val="both"/>
        <w:rPr>
          <w:rFonts w:cstheme="minorHAnsi"/>
          <w:b/>
          <w:sz w:val="24"/>
          <w:szCs w:val="24"/>
        </w:rPr>
      </w:pPr>
      <w:r>
        <w:t>Przedmiotem zamówienia jest:</w:t>
      </w:r>
      <w:r w:rsidR="00B56D2A">
        <w:t xml:space="preserve"> </w:t>
      </w:r>
      <w:r w:rsidR="0015719A" w:rsidRPr="00F85D6A">
        <w:rPr>
          <w:rFonts w:cstheme="minorHAnsi"/>
          <w:b/>
          <w:sz w:val="24"/>
          <w:szCs w:val="24"/>
        </w:rPr>
        <w:t>„Budowa drogi gminnej w kierunku strefy przemysłowej w km 0+000 do km 0+914 w miejscowości Podborze wraz z budową skrzyżowania i niezbędną infrastrukturą”</w:t>
      </w:r>
      <w:r w:rsidR="00F85D6A">
        <w:rPr>
          <w:rFonts w:cstheme="minorHAnsi"/>
          <w:b/>
          <w:sz w:val="24"/>
          <w:szCs w:val="24"/>
        </w:rPr>
        <w:t>.</w:t>
      </w:r>
    </w:p>
    <w:p w:rsidR="00C847B7" w:rsidRPr="00CB3396" w:rsidRDefault="009C5C77" w:rsidP="00CB3396">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CB3396">
        <w:rPr>
          <w:color w:val="000000"/>
          <w:lang w:eastAsia="pl-PL"/>
        </w:rPr>
        <w:t>:</w:t>
      </w:r>
      <w:r w:rsidR="00BC40EE" w:rsidRPr="009C5C77">
        <w:rPr>
          <w:color w:val="000000"/>
          <w:lang w:eastAsia="pl-PL"/>
        </w:rPr>
        <w:t xml:space="preserve"> </w:t>
      </w:r>
      <w:r w:rsidRPr="009C5C77">
        <w:rPr>
          <w:color w:val="000000"/>
          <w:lang w:eastAsia="pl-PL"/>
        </w:rPr>
        <w:t xml:space="preserve">wykonanie </w:t>
      </w:r>
      <w:r w:rsidR="00F8643B">
        <w:rPr>
          <w:color w:val="000000"/>
          <w:lang w:eastAsia="pl-PL"/>
        </w:rPr>
        <w:t xml:space="preserve">warstwy wiążącej z betonu asfaltowego gr. 5 i 6 cm po zagęszczeniu, wykonanie warstwy podbudowy z betonu asfaltowego gr. 7 cm i 10 cm, wykonanie </w:t>
      </w:r>
      <w:r w:rsidR="005D6EF9">
        <w:rPr>
          <w:color w:val="000000"/>
          <w:lang w:eastAsia="pl-PL"/>
        </w:rPr>
        <w:t xml:space="preserve"> podbudowy pomocniczej  z mieszanki związanej cementem o grubości  18 cm po zagęszczeniu oraz warstwy podbudowy zasadniczej z kruszywa łamanego 0/63 mm o grubości warstwy 20 cm po zagęszczeniu i warstwy zasadniczej z kruszywa łamanego  0/32 mm o grubości 15 cm po zagęszczeniu. Do zakresu robót wchodzi  również wykonanie chodnika</w:t>
      </w:r>
      <w:r w:rsidR="00EB77B5">
        <w:rPr>
          <w:color w:val="000000"/>
          <w:lang w:eastAsia="pl-PL"/>
        </w:rPr>
        <w:t xml:space="preserve"> przy krawędzi jezdni</w:t>
      </w:r>
      <w:r w:rsidR="007B3E00">
        <w:rPr>
          <w:color w:val="000000"/>
          <w:lang w:eastAsia="pl-PL"/>
        </w:rPr>
        <w:t xml:space="preserve"> wraz ze zjazdami z kostki brukowej betonowej gr</w:t>
      </w:r>
      <w:r w:rsidR="00EB77B5">
        <w:rPr>
          <w:color w:val="000000"/>
          <w:lang w:eastAsia="pl-PL"/>
        </w:rPr>
        <w:t>. 6 cm i 8 cm  i szerokości  2,0</w:t>
      </w:r>
      <w:r w:rsidR="007B3E00">
        <w:rPr>
          <w:color w:val="000000"/>
          <w:lang w:eastAsia="pl-PL"/>
        </w:rPr>
        <w:t xml:space="preserve"> m, wykonanie  obustronnych rowów </w:t>
      </w:r>
      <w:r w:rsidR="00EB77B5">
        <w:rPr>
          <w:color w:val="000000"/>
          <w:lang w:eastAsia="pl-PL"/>
        </w:rPr>
        <w:t xml:space="preserve">otwartych </w:t>
      </w:r>
      <w:r w:rsidR="007B3E00">
        <w:rPr>
          <w:color w:val="000000"/>
          <w:lang w:eastAsia="pl-PL"/>
        </w:rPr>
        <w:t>odwadniających drogę z umocnieniem dna rowu</w:t>
      </w:r>
      <w:r w:rsidR="00FF64DB">
        <w:rPr>
          <w:color w:val="000000"/>
          <w:lang w:eastAsia="pl-PL"/>
        </w:rPr>
        <w:t xml:space="preserve"> korytkami </w:t>
      </w:r>
      <w:r w:rsidR="00EB77B5">
        <w:rPr>
          <w:color w:val="000000"/>
          <w:lang w:eastAsia="pl-PL"/>
        </w:rPr>
        <w:t xml:space="preserve"> betonowym</w:t>
      </w:r>
      <w:r w:rsidR="00FF64DB">
        <w:rPr>
          <w:color w:val="000000"/>
          <w:lang w:eastAsia="pl-PL"/>
        </w:rPr>
        <w:t>i  prefabrykowanymi</w:t>
      </w:r>
      <w:r w:rsidR="00EB77B5">
        <w:rPr>
          <w:color w:val="000000"/>
          <w:lang w:eastAsia="pl-PL"/>
        </w:rPr>
        <w:t>.</w:t>
      </w:r>
      <w:r w:rsidR="00FF64DB">
        <w:rPr>
          <w:color w:val="000000"/>
          <w:lang w:eastAsia="pl-PL"/>
        </w:rPr>
        <w:t xml:space="preserve"> W ramach robót objętych przedmiotowym zadaniem przewiduje się również</w:t>
      </w:r>
      <w:r w:rsidR="009B424F">
        <w:rPr>
          <w:color w:val="000000"/>
          <w:lang w:eastAsia="pl-PL"/>
        </w:rPr>
        <w:t>:</w:t>
      </w:r>
      <w:r w:rsidR="00FF64DB">
        <w:rPr>
          <w:color w:val="000000"/>
          <w:lang w:eastAsia="pl-PL"/>
        </w:rPr>
        <w:t xml:space="preserve">  budowę skrzyżowania drogi gminnej z drogą wojewódzką, dodatkowe odwodnienie drogi po stronie prawej  poprzez budowę </w:t>
      </w:r>
      <w:r w:rsidR="009B424F">
        <w:rPr>
          <w:color w:val="000000"/>
          <w:lang w:eastAsia="pl-PL"/>
        </w:rPr>
        <w:t>wpustów ulicznych W1</w:t>
      </w:r>
      <w:r w:rsidR="00085B8D">
        <w:rPr>
          <w:color w:val="000000"/>
          <w:lang w:eastAsia="pl-PL"/>
        </w:rPr>
        <w:t xml:space="preserve"> </w:t>
      </w:r>
      <w:r w:rsidR="009B424F">
        <w:rPr>
          <w:color w:val="000000"/>
          <w:lang w:eastAsia="pl-PL"/>
        </w:rPr>
        <w:t xml:space="preserve">do W20 i ścieku ulicznego </w:t>
      </w:r>
      <w:proofErr w:type="spellStart"/>
      <w:r w:rsidR="009B424F">
        <w:rPr>
          <w:color w:val="000000"/>
          <w:lang w:eastAsia="pl-PL"/>
        </w:rPr>
        <w:t>przykrawężnikowego</w:t>
      </w:r>
      <w:proofErr w:type="spellEnd"/>
      <w:r w:rsidR="009B424F">
        <w:rPr>
          <w:color w:val="000000"/>
          <w:lang w:eastAsia="pl-PL"/>
        </w:rPr>
        <w:t>.</w:t>
      </w:r>
      <w:r w:rsidR="003E290B">
        <w:rPr>
          <w:color w:val="000000"/>
          <w:lang w:eastAsia="pl-PL"/>
        </w:rPr>
        <w:t xml:space="preserve"> W ramach robót wykończeniowych zostanie wykonane </w:t>
      </w:r>
      <w:r w:rsidR="0015719A">
        <w:rPr>
          <w:color w:val="000000"/>
          <w:lang w:eastAsia="pl-PL"/>
        </w:rPr>
        <w:t>oznakowanie pionowe i poziome oraz elementy bezpieczeństwa ruchu drogowego.</w:t>
      </w:r>
    </w:p>
    <w:p w:rsidR="00435575" w:rsidRDefault="00435575" w:rsidP="00435575">
      <w:pPr>
        <w:pStyle w:val="Styl1"/>
        <w:widowControl w:val="0"/>
        <w:numPr>
          <w:ilvl w:val="0"/>
          <w:numId w:val="0"/>
        </w:numPr>
        <w:suppressAutoHyphens/>
        <w:autoSpaceDE w:val="0"/>
        <w:spacing w:before="60" w:after="0" w:line="276" w:lineRule="auto"/>
        <w:ind w:left="720" w:hanging="360"/>
        <w:jc w:val="both"/>
        <w:rPr>
          <w:color w:val="000000"/>
          <w:lang w:eastAsia="pl-PL"/>
        </w:rPr>
      </w:pPr>
    </w:p>
    <w:p w:rsidR="00435575" w:rsidRDefault="00435575" w:rsidP="00435575">
      <w:pPr>
        <w:pStyle w:val="Styl1"/>
        <w:widowControl w:val="0"/>
        <w:numPr>
          <w:ilvl w:val="0"/>
          <w:numId w:val="0"/>
        </w:numPr>
        <w:suppressAutoHyphens/>
        <w:autoSpaceDE w:val="0"/>
        <w:spacing w:before="60" w:after="0" w:line="276" w:lineRule="auto"/>
        <w:ind w:left="720" w:hanging="360"/>
        <w:jc w:val="both"/>
      </w:pPr>
    </w:p>
    <w:p w:rsidR="00495714" w:rsidRPr="00C31832" w:rsidRDefault="00495714" w:rsidP="00495714">
      <w:pPr>
        <w:pStyle w:val="Styl1"/>
        <w:numPr>
          <w:ilvl w:val="0"/>
          <w:numId w:val="0"/>
        </w:numPr>
        <w:ind w:left="1080"/>
        <w:jc w:val="both"/>
        <w:rPr>
          <w:color w:val="FF0000"/>
        </w:rPr>
      </w:pPr>
    </w:p>
    <w:p w:rsidR="00FE2ABF" w:rsidRDefault="00FE2ABF" w:rsidP="006517B0">
      <w:pPr>
        <w:pStyle w:val="Styl1"/>
        <w:jc w:val="both"/>
      </w:pPr>
      <w:r w:rsidRPr="00FE2ABF">
        <w:lastRenderedPageBreak/>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085B8D" w:rsidRDefault="00085B8D" w:rsidP="00336DEB">
      <w:pPr>
        <w:pStyle w:val="Akapitzlist"/>
        <w:spacing w:after="0" w:line="240" w:lineRule="auto"/>
        <w:jc w:val="both"/>
      </w:pPr>
      <w:r>
        <w:t>45.10.00.00-8 – przygotowanie terenu pod budowę</w:t>
      </w:r>
    </w:p>
    <w:p w:rsidR="00085B8D" w:rsidRDefault="00085B8D" w:rsidP="00F000A0">
      <w:pPr>
        <w:pStyle w:val="Akapitzlist"/>
        <w:spacing w:after="0" w:line="240" w:lineRule="auto"/>
        <w:jc w:val="both"/>
      </w:pPr>
      <w:r>
        <w:t xml:space="preserve">45.20.00.00-9- roboty budowlane w zakresie wznoszenia kompletnych obiektów </w:t>
      </w:r>
      <w:r w:rsidR="00336DEB">
        <w:t>b</w:t>
      </w:r>
      <w:r>
        <w:t>udowlanych lub ich części oraz roboty w zakre</w:t>
      </w:r>
      <w:r w:rsidR="00E31C5C">
        <w:t>sie inżynierii lądowej i wodnej</w:t>
      </w:r>
    </w:p>
    <w:p w:rsidR="00C47EF0" w:rsidRDefault="00C47EF0" w:rsidP="00F000A0">
      <w:pPr>
        <w:pStyle w:val="Akapitzlist"/>
        <w:spacing w:after="0" w:line="240" w:lineRule="auto"/>
        <w:jc w:val="both"/>
      </w:pPr>
      <w:r>
        <w:t>45.23.32 .20-7 – roboty w zakresie nawierzchni dróg</w:t>
      </w:r>
    </w:p>
    <w:p w:rsidR="00336DEB" w:rsidRDefault="00336DEB" w:rsidP="00F000A0">
      <w:pPr>
        <w:pStyle w:val="Akapitzlist"/>
        <w:spacing w:after="0" w:line="240" w:lineRule="auto"/>
        <w:jc w:val="both"/>
      </w:pPr>
      <w:r>
        <w:t>45.23.00.00-8 - Roboty budowlane w zakresie budowy rurociągów, linii komunikacyjnych i</w:t>
      </w:r>
    </w:p>
    <w:p w:rsidR="00336DEB" w:rsidRDefault="00336DEB" w:rsidP="00F000A0">
      <w:pPr>
        <w:pStyle w:val="Akapitzlist"/>
        <w:spacing w:after="0" w:line="240" w:lineRule="auto"/>
        <w:jc w:val="both"/>
      </w:pPr>
      <w:r>
        <w:t>elektroenergetycznych, autostrad, dróg, lotnisk i kolei; wyrównywanie</w:t>
      </w:r>
    </w:p>
    <w:p w:rsidR="00336DEB" w:rsidRDefault="00336DEB" w:rsidP="00F000A0">
      <w:pPr>
        <w:pStyle w:val="Akapitzlist"/>
        <w:spacing w:after="0" w:line="240" w:lineRule="auto"/>
        <w:jc w:val="both"/>
      </w:pPr>
      <w:r>
        <w:t>terenu</w:t>
      </w:r>
    </w:p>
    <w:p w:rsidR="00336DEB" w:rsidRDefault="00336DEB" w:rsidP="00F000A0">
      <w:pPr>
        <w:pStyle w:val="Akapitzlist"/>
        <w:spacing w:after="0" w:line="240" w:lineRule="auto"/>
        <w:jc w:val="both"/>
      </w:pPr>
      <w:r>
        <w:t>45.23.23.00-5 - Roboty budowlane i pomocnicze w zakresie linii telefonicznych i ciągów</w:t>
      </w:r>
    </w:p>
    <w:p w:rsidR="00336DEB" w:rsidRDefault="00336DEB" w:rsidP="00F000A0">
      <w:pPr>
        <w:pStyle w:val="Akapitzlist"/>
        <w:spacing w:after="0" w:line="240" w:lineRule="auto"/>
        <w:jc w:val="both"/>
      </w:pPr>
      <w:r>
        <w:t>komunikacyjnych</w:t>
      </w:r>
    </w:p>
    <w:p w:rsidR="00C47EF0" w:rsidRDefault="00C47EF0" w:rsidP="00C47EF0">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03225" w:rsidRDefault="00C03225" w:rsidP="00C03225">
      <w:pPr>
        <w:pStyle w:val="Akapitzlist"/>
        <w:spacing w:after="0" w:line="240" w:lineRule="auto"/>
        <w:jc w:val="both"/>
      </w:pPr>
      <w:r w:rsidRPr="00047837">
        <w:t>Na podstawie art. 29 ust. 3a Zama</w:t>
      </w:r>
      <w:r>
        <w:t xml:space="preserve">wiający wymaga, aby </w:t>
      </w:r>
      <w:r w:rsidRPr="00047837">
        <w:t>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w:t>
      </w:r>
      <w:r w:rsidRPr="00047837">
        <w:lastRenderedPageBreak/>
        <w:t xml:space="preserve">- Kodeks pracy </w:t>
      </w:r>
      <w:r w:rsidR="005115E5" w:rsidRPr="00047837">
        <w:t>(Dz. U. z 2</w:t>
      </w:r>
      <w:r w:rsidR="00865650" w:rsidRPr="00047837">
        <w:t>01</w:t>
      </w:r>
      <w:r>
        <w:t>9</w:t>
      </w:r>
      <w:r w:rsidR="00865650" w:rsidRPr="00047837">
        <w:t xml:space="preserve"> r. poz. </w:t>
      </w:r>
      <w:r>
        <w:t>1040</w:t>
      </w:r>
      <w:r w:rsidR="00865650" w:rsidRPr="00047837">
        <w:t xml:space="preserve"> z </w:t>
      </w:r>
      <w:proofErr w:type="spellStart"/>
      <w:r w:rsidR="00865650" w:rsidRPr="00047837">
        <w:t>późn</w:t>
      </w:r>
      <w:proofErr w:type="spellEnd"/>
      <w:r w:rsidR="00865650" w:rsidRPr="00047837">
        <w:t>. zm</w:t>
      </w:r>
      <w:r w:rsidR="00865650" w:rsidRPr="006E2553">
        <w:t xml:space="preserve">.), tj. </w:t>
      </w:r>
      <w:r w:rsidRPr="00B663ED">
        <w:t xml:space="preserve">operator </w:t>
      </w:r>
      <w:proofErr w:type="spellStart"/>
      <w:r w:rsidRPr="00B663ED">
        <w:t>rozścielacza</w:t>
      </w:r>
      <w:proofErr w:type="spellEnd"/>
      <w:r w:rsidRPr="00B663ED">
        <w:t xml:space="preserve"> masy, ope</w:t>
      </w:r>
      <w:r w:rsidR="00AC74D5">
        <w:t>rator równiarki, operator walca, operator koparki.</w:t>
      </w:r>
    </w:p>
    <w:p w:rsidR="00A870AE" w:rsidRPr="00A870AE" w:rsidRDefault="00A870AE" w:rsidP="00A870A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A870AE" w:rsidRPr="00B848C3" w:rsidRDefault="00A870AE" w:rsidP="00A870AE">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 budowlanych</w:t>
      </w:r>
      <w:r w:rsidRPr="00B848C3">
        <w:rPr>
          <w:rFonts w:cstheme="minorHAnsi"/>
        </w:rPr>
        <w:t xml:space="preserve"> dostarczy Zamawiającemu: </w:t>
      </w:r>
    </w:p>
    <w:p w:rsidR="00A870AE" w:rsidRDefault="00A870AE" w:rsidP="00A870A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870AE" w:rsidRPr="00CE10AD" w:rsidRDefault="00A870AE" w:rsidP="00A870AE">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A870AE" w:rsidRDefault="00A870AE" w:rsidP="00A870A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w:t>
      </w:r>
      <w:r w:rsidR="003E4D34">
        <w:rPr>
          <w:rFonts w:cs="Calibri"/>
        </w:rPr>
        <w:t xml:space="preserve">zgodnie z przepisami </w:t>
      </w:r>
      <w:r w:rsidR="003E4D34">
        <w:t>rozporządzenia Parlamentu Europejskiego i Rady (UE) 2016/679 z dnia 27 kwietnia 2016 r. „RODO”</w:t>
      </w:r>
      <w:r w:rsidRPr="00FA631E">
        <w:rPr>
          <w:rFonts w:cstheme="minorHAnsi"/>
        </w:rPr>
        <w:t xml:space="preserve"> (tj. w szczególności  bez adresów, nr PESEL pracowników). Imię i nazwisko pracownika nie podlega </w:t>
      </w:r>
      <w:proofErr w:type="spellStart"/>
      <w:r w:rsidRPr="00FA631E">
        <w:rPr>
          <w:rFonts w:cstheme="minorHAnsi"/>
        </w:rPr>
        <w:t>anonimizacji</w:t>
      </w:r>
      <w:proofErr w:type="spellEnd"/>
      <w:r w:rsidRPr="00FA631E">
        <w:rPr>
          <w:rFonts w:cstheme="minorHAnsi"/>
        </w:rPr>
        <w:t xml:space="preserve">. Informacje takie jak: data zawarcia umowy, rodzaj umowy o pracę i wymiar etatu powinny </w:t>
      </w:r>
      <w:r>
        <w:rPr>
          <w:rFonts w:cstheme="minorHAnsi"/>
        </w:rPr>
        <w:t>być możliwe do zidentyfikowania</w:t>
      </w:r>
      <w:r w:rsidRPr="00166615">
        <w:rPr>
          <w:rFonts w:cstheme="minorHAnsi"/>
        </w:rPr>
        <w:t>;</w:t>
      </w:r>
    </w:p>
    <w:p w:rsidR="00A870AE" w:rsidRDefault="00A870AE" w:rsidP="00A870A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w:t>
      </w:r>
      <w:r w:rsidR="003E4D34" w:rsidRPr="003E4D34">
        <w:rPr>
          <w:rFonts w:cs="Calibri"/>
        </w:rPr>
        <w:t xml:space="preserve"> </w:t>
      </w:r>
      <w:r w:rsidR="003E4D34">
        <w:rPr>
          <w:rFonts w:cs="Calibri"/>
        </w:rPr>
        <w:t xml:space="preserve">zgodnie z przepisami </w:t>
      </w:r>
      <w:r w:rsidR="003E4D34">
        <w:t>rozporządzenia Parlamentu Europejskiego i Rady (UE) 2016/679 z dnia 27 kwietnia 2016 r. „RODO”</w:t>
      </w:r>
      <w:r>
        <w:rPr>
          <w:rFonts w:cstheme="minorHAnsi"/>
        </w:rPr>
        <w:t>;</w:t>
      </w:r>
    </w:p>
    <w:p w:rsidR="00A870AE" w:rsidRPr="00B848C3" w:rsidRDefault="00A870AE" w:rsidP="00A870A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A870AE" w:rsidRDefault="00A870AE" w:rsidP="00A870AE">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A870AE" w:rsidRDefault="00A870AE" w:rsidP="00A870AE">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A870AE" w:rsidRDefault="00A870AE" w:rsidP="00A870A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A870AE" w:rsidRDefault="00A870AE" w:rsidP="00C03225">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BB6E65">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3E4D34" w:rsidRPr="003E4D34" w:rsidRDefault="003E4D34" w:rsidP="003E4D34">
      <w:pPr>
        <w:pStyle w:val="Akapitzlist"/>
        <w:numPr>
          <w:ilvl w:val="1"/>
          <w:numId w:val="2"/>
        </w:numPr>
        <w:spacing w:after="0" w:line="240" w:lineRule="auto"/>
        <w:jc w:val="both"/>
        <w:rPr>
          <w:color w:val="FF0000"/>
        </w:rPr>
      </w:pPr>
      <w:r w:rsidRPr="005C0AB4">
        <w:lastRenderedPageBreak/>
        <w:t xml:space="preserve">Zamawiający przewiduje możliwość udzielenia zamówień, o których mowa w art. 67 ust. 1 pkt 6 PZP, w okresie 3 lat od dnia udzielenia zamówienia podstawowego, o wartości do </w:t>
      </w:r>
      <w:r w:rsidR="00B44945">
        <w:t>3</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3E4D34" w:rsidRPr="00632383" w:rsidRDefault="003E4D34" w:rsidP="003E4D3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Jeżeli zmiana albo rezygnacja z podwykonawcy dotyczy podmiotu na którego zasoby Wykonawca powoływał się, na zasadach określonych w art. 22a ust. 1, w celu wykazania spe</w:t>
      </w:r>
      <w:r w:rsidR="00725456">
        <w:t>łnienia warunków udziału w postę</w:t>
      </w:r>
      <w:r>
        <w:t xml:space="preserv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CB13FA"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do </w:t>
      </w:r>
      <w:r w:rsidR="00B44945">
        <w:rPr>
          <w:b/>
          <w:color w:val="000000"/>
        </w:rPr>
        <w:t>20.11</w:t>
      </w:r>
      <w:r w:rsidR="007E265D">
        <w:rPr>
          <w:b/>
          <w:bCs/>
          <w:color w:val="000000"/>
        </w:rPr>
        <w:t>.2020</w:t>
      </w:r>
      <w:r w:rsidR="00CB13FA" w:rsidRPr="00CB13FA">
        <w:rPr>
          <w:b/>
          <w:bCs/>
          <w:color w:val="000000"/>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lastRenderedPageBreak/>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49766E">
        <w:t xml:space="preserve">wykonanie min. 2- </w:t>
      </w:r>
      <w:proofErr w:type="spellStart"/>
      <w:r w:rsidR="0049766E">
        <w:t>ch</w:t>
      </w:r>
      <w:proofErr w:type="spellEnd"/>
      <w:r w:rsidR="0049766E">
        <w:t xml:space="preserve"> </w:t>
      </w:r>
      <w:r w:rsidR="0079251B">
        <w:t xml:space="preserve">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Jako jedno zamówienie porównywalne rozumie się wykonanie robót budo</w:t>
      </w:r>
      <w:r w:rsidR="0049766E">
        <w:t>wlanych polegających na budowie lub</w:t>
      </w:r>
      <w:r>
        <w:t xml:space="preserve"> przebudowi</w:t>
      </w:r>
      <w:r w:rsidR="0049766E">
        <w:t xml:space="preserve">e dróg o wartości minimum  2.000.000,00 </w:t>
      </w:r>
      <w:r w:rsidR="008D1158">
        <w:t xml:space="preserve">zł </w:t>
      </w:r>
      <w:r w:rsidR="00725456">
        <w:t xml:space="preserve">brutto </w:t>
      </w:r>
      <w:r w:rsidR="008D1158">
        <w:t>każde.</w:t>
      </w:r>
      <w:r>
        <w:t xml:space="preserv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Pr="00395F05" w:rsidRDefault="00006B12" w:rsidP="00BB6E65">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006B12" w:rsidRPr="00395F05" w:rsidRDefault="00006B12" w:rsidP="00006B12">
      <w:pPr>
        <w:spacing w:after="0" w:line="240" w:lineRule="auto"/>
        <w:ind w:left="1068"/>
        <w:jc w:val="both"/>
      </w:pPr>
      <w:r w:rsidRPr="00395F05">
        <w:t xml:space="preserve">- rozkładarka mas bitumicznych z podgrzewaną listwą zagęszczającą wstępnie min.80% z elektronicznym sterowaniem równością układanej warstwy           </w:t>
      </w:r>
      <w:r w:rsidRPr="00395F05">
        <w:tab/>
      </w:r>
      <w:r w:rsidR="00395F05">
        <w:t xml:space="preserve">    </w:t>
      </w:r>
      <w:r w:rsidRPr="00395F05">
        <w:t xml:space="preserve"> </w:t>
      </w:r>
      <w:r w:rsidR="00395F05">
        <w:tab/>
      </w:r>
      <w:r w:rsidR="004453F3">
        <w:t>- min. 1 szt.</w:t>
      </w:r>
    </w:p>
    <w:p w:rsidR="00006B12" w:rsidRDefault="00006B12" w:rsidP="00006B12">
      <w:pPr>
        <w:spacing w:after="0" w:line="240" w:lineRule="auto"/>
        <w:ind w:left="360" w:firstLine="708"/>
        <w:jc w:val="both"/>
      </w:pPr>
      <w:r w:rsidRPr="00395F05">
        <w:t xml:space="preserve">- walec </w:t>
      </w:r>
      <w:r w:rsidR="00D84580">
        <w:t>wibracyjny</w:t>
      </w:r>
      <w:r w:rsidRPr="00395F05">
        <w:t xml:space="preserve"> samojezdny stalowy ciężki                                                 </w:t>
      </w:r>
      <w:r w:rsidR="00395F05">
        <w:tab/>
      </w:r>
      <w:r w:rsidR="008D1158">
        <w:t>- min. 2</w:t>
      </w:r>
      <w:r w:rsidR="004453F3">
        <w:t xml:space="preserve"> szt.</w:t>
      </w:r>
    </w:p>
    <w:p w:rsidR="008D1158" w:rsidRPr="00395F05" w:rsidRDefault="008D1158" w:rsidP="00006B12">
      <w:pPr>
        <w:spacing w:after="0" w:line="240" w:lineRule="auto"/>
        <w:ind w:left="360" w:firstLine="708"/>
        <w:jc w:val="both"/>
      </w:pPr>
      <w:r>
        <w:t xml:space="preserve">- koparko-ładowarkę                                                                                                  - min. 1 </w:t>
      </w:r>
      <w:proofErr w:type="spellStart"/>
      <w:r>
        <w:t>szt</w:t>
      </w:r>
      <w:proofErr w:type="spellEnd"/>
    </w:p>
    <w:p w:rsidR="00006B12" w:rsidRDefault="00006B12" w:rsidP="00E336C9">
      <w:pPr>
        <w:spacing w:after="0" w:line="240" w:lineRule="auto"/>
        <w:ind w:left="1068"/>
        <w:jc w:val="both"/>
      </w:pPr>
      <w:r w:rsidRPr="00395F05">
        <w:t>- udokumentowanie możliwości przeprowadzenia badań laboratoryjnych określonych w SST.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xml:space="preserve">- Kierownik budowy – posiadający uprawnienia do kierowania budową i robotami w specjalności </w:t>
      </w:r>
      <w:proofErr w:type="spellStart"/>
      <w:r w:rsidRPr="00EE63BF">
        <w:t>konstrukcyjno</w:t>
      </w:r>
      <w:proofErr w:type="spellEnd"/>
      <w:r w:rsidR="008D1158">
        <w:t xml:space="preserve"> </w:t>
      </w:r>
      <w:r w:rsidRPr="00EE63BF">
        <w:t>- inżynieryjnej w zakresie dróg</w:t>
      </w:r>
      <w:r w:rsidR="008D1158">
        <w:t xml:space="preserve"> bez ograniczeń</w:t>
      </w:r>
      <w:r w:rsidRPr="00EE63BF">
        <w:t xml:space="preserve">, posiadający min. </w:t>
      </w:r>
      <w:r w:rsidRPr="00E27775">
        <w:rPr>
          <w:b/>
        </w:rPr>
        <w:t>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xml:space="preserve">., może przedstawić dowody na to, że podjęte przez niego środki są </w:t>
      </w:r>
      <w:r>
        <w:lastRenderedPageBreak/>
        <w:t>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184021">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lastRenderedPageBreak/>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184021">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184021">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 xml:space="preserve">wykazu stanowi Załącznik nr </w:t>
      </w:r>
      <w:r w:rsidR="00184021">
        <w:rPr>
          <w:b/>
        </w:rPr>
        <w:t>6</w:t>
      </w:r>
      <w:r w:rsidRPr="00691517">
        <w:rPr>
          <w:b/>
        </w:rPr>
        <w:t xml:space="preserve"> do SIWZ</w:t>
      </w:r>
    </w:p>
    <w:p w:rsidR="00993113" w:rsidRPr="0073534E" w:rsidRDefault="00EB1B2D" w:rsidP="0073534E">
      <w:pPr>
        <w:pStyle w:val="Akapitzlist"/>
        <w:numPr>
          <w:ilvl w:val="0"/>
          <w:numId w:val="13"/>
        </w:numPr>
        <w:jc w:val="both"/>
        <w:rPr>
          <w:b/>
        </w:rPr>
      </w:pPr>
      <w:r w:rsidRPr="00691517">
        <w:t>Oświadczenie o możliwości wykonania badań laboratoryjnych wymaganych w SST –</w:t>
      </w:r>
      <w:r w:rsidRPr="00691517">
        <w:rPr>
          <w:b/>
        </w:rPr>
        <w:t xml:space="preserve"> według wzoru stanowiącego załącznik Nr </w:t>
      </w:r>
      <w:r w:rsidR="00184021">
        <w:rPr>
          <w:b/>
        </w:rPr>
        <w:t>7</w:t>
      </w:r>
      <w:r w:rsidRPr="00691517">
        <w:rPr>
          <w:b/>
        </w:rPr>
        <w:t xml:space="preserve"> do oferty.</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lastRenderedPageBreak/>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proofErr w:type="spellStart"/>
      <w:r w:rsidR="00A413EB">
        <w:t>t.j</w:t>
      </w:r>
      <w:proofErr w:type="spellEnd"/>
      <w:r w:rsidR="00A413EB">
        <w:t xml:space="preserve">. </w:t>
      </w:r>
      <w:r w:rsidRPr="00CF798D">
        <w:t>Dz. U. z 201</w:t>
      </w:r>
      <w:r w:rsidR="00A413EB">
        <w:t>9</w:t>
      </w:r>
      <w:r w:rsidRPr="00CF798D">
        <w:t xml:space="preserve"> r. poz. </w:t>
      </w:r>
      <w:r w:rsidR="00A413EB">
        <w:t>700 ze zm.</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t>
      </w:r>
      <w:r>
        <w:lastRenderedPageBreak/>
        <w:t>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lastRenderedPageBreak/>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w:t>
      </w:r>
      <w:r w:rsidRPr="005750C0">
        <w:lastRenderedPageBreak/>
        <w:t xml:space="preserve">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454355" w:rsidRDefault="005750C0" w:rsidP="00454355">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5750C0" w:rsidP="00BB6E65">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BB6E65">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w:t>
      </w:r>
      <w:proofErr w:type="spellStart"/>
      <w:r>
        <w:t>Inwest</w:t>
      </w:r>
      <w:proofErr w:type="spellEnd"/>
      <w:r>
        <w: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 xml:space="preserve">sprawy formalne – Joanna Kulpa – od poniedziałku do piątku w godz. od </w:t>
      </w:r>
      <w:r w:rsidR="00374812">
        <w:t>8:00 do 15.30 –  tel. (014) 68-07</w:t>
      </w:r>
      <w:r>
        <w:t>-</w:t>
      </w:r>
      <w:r w:rsidR="00374812">
        <w:t>060</w:t>
      </w:r>
      <w:r>
        <w:t>;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8E1B22"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D527F6" w:rsidRPr="00D527F6">
        <w:rPr>
          <w:b/>
        </w:rPr>
        <w:t>1</w:t>
      </w:r>
      <w:r w:rsidR="00A85ACA">
        <w:rPr>
          <w:b/>
        </w:rPr>
        <w:t>8</w:t>
      </w:r>
      <w:r w:rsidR="008E1B22" w:rsidRPr="00D527F6">
        <w:rPr>
          <w:b/>
        </w:rPr>
        <w:t>.</w:t>
      </w:r>
      <w:r w:rsidR="008E1B22" w:rsidRPr="00FE6F46">
        <w:rPr>
          <w:b/>
        </w:rPr>
        <w:t>000</w:t>
      </w:r>
      <w:r w:rsidR="008E1B22" w:rsidRPr="008E1B22">
        <w:rPr>
          <w:b/>
        </w:rPr>
        <w:t>,00</w:t>
      </w:r>
      <w:r w:rsidR="008E1B22">
        <w:t xml:space="preserve"> </w:t>
      </w:r>
      <w:r w:rsidRPr="008E1B22">
        <w:rPr>
          <w:b/>
        </w:rPr>
        <w:t>PLN</w:t>
      </w:r>
      <w:r w:rsidRPr="00A96D61">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EE72FE">
        <w:rPr>
          <w:b/>
          <w:color w:val="FF0000"/>
        </w:rPr>
        <w:t xml:space="preserve">  </w:t>
      </w:r>
      <w:r w:rsidR="00AE5304">
        <w:rPr>
          <w:b/>
          <w:color w:val="FF0000"/>
        </w:rPr>
        <w:t>14</w:t>
      </w:r>
      <w:r w:rsidR="00EE72FE">
        <w:rPr>
          <w:b/>
          <w:color w:val="FF0000"/>
        </w:rPr>
        <w:t>.05</w:t>
      </w:r>
      <w:r w:rsidR="006500C8">
        <w:rPr>
          <w:b/>
          <w:color w:val="FF0000"/>
        </w:rPr>
        <w:t>.2020</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 xml:space="preserve">Zamawiający zwraca wadium wszystkim wykonawcom niezwłocznie po wyborze oferty najkorzystniejszej lub unieważnieniu postępowania, z wyjątkiem wykonawcy, którego oferta </w:t>
      </w:r>
      <w:r>
        <w:lastRenderedPageBreak/>
        <w:t>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lastRenderedPageBreak/>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proofErr w:type="spellStart"/>
      <w:r w:rsidR="00027638">
        <w:t>t.j</w:t>
      </w:r>
      <w:proofErr w:type="spellEnd"/>
      <w:r w:rsidR="00027638">
        <w:t xml:space="preserve">. </w:t>
      </w:r>
      <w:r>
        <w:t>Dz.U. 201</w:t>
      </w:r>
      <w:r w:rsidR="00027638">
        <w:t>9</w:t>
      </w:r>
      <w:r>
        <w:t>r</w:t>
      </w:r>
      <w:r w:rsidR="00027638">
        <w:t>.</w:t>
      </w:r>
      <w:r>
        <w:t xml:space="preserve">, poz. </w:t>
      </w:r>
      <w:r w:rsidR="00027638">
        <w:t>700 ze zm.</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3063BF">
      <w:pPr>
        <w:pStyle w:val="Akapitzlist"/>
        <w:numPr>
          <w:ilvl w:val="0"/>
          <w:numId w:val="17"/>
        </w:numPr>
        <w:spacing w:after="0" w:line="240" w:lineRule="auto"/>
        <w:jc w:val="both"/>
        <w:rPr>
          <w:b/>
        </w:rPr>
      </w:pPr>
      <w:r w:rsidRPr="00994F6A">
        <w:rPr>
          <w:b/>
        </w:rPr>
        <w:t>Kosztorys ofertow</w:t>
      </w:r>
      <w:r w:rsidR="00614485">
        <w:rPr>
          <w:b/>
        </w:rPr>
        <w:t>y</w:t>
      </w:r>
      <w:r w:rsidR="006B6070">
        <w:rPr>
          <w:b/>
        </w:rPr>
        <w:t xml:space="preserve"> wypełnion</w:t>
      </w:r>
      <w:r w:rsidR="00614485">
        <w:rPr>
          <w:b/>
        </w:rPr>
        <w:t>y</w:t>
      </w:r>
      <w:r w:rsidR="00205FD6">
        <w:t xml:space="preserve"> i podpisan</w:t>
      </w:r>
      <w:r w:rsidR="00614485">
        <w:t>y</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3063BF">
        <w:rPr>
          <w:b/>
        </w:rPr>
        <w:t xml:space="preserve"> </w:t>
      </w:r>
      <w:r w:rsidR="0093257D" w:rsidRPr="00025C22">
        <w:rPr>
          <w:b/>
        </w:rPr>
        <w:t>Rozd</w:t>
      </w:r>
      <w:r w:rsidR="00B56D2A">
        <w:rPr>
          <w:b/>
        </w:rPr>
        <w:t xml:space="preserve">ział  </w:t>
      </w:r>
      <w:r w:rsidR="00614485">
        <w:rPr>
          <w:rFonts w:ascii="Arial" w:hAnsi="Arial"/>
          <w:b/>
          <w:sz w:val="20"/>
          <w:szCs w:val="20"/>
        </w:rPr>
        <w:t>III</w:t>
      </w:r>
      <w:r w:rsidR="003063BF">
        <w:rPr>
          <w:rFonts w:ascii="Arial" w:hAnsi="Arial"/>
          <w:b/>
          <w:sz w:val="20"/>
          <w:szCs w:val="20"/>
        </w:rPr>
        <w:t>.</w:t>
      </w:r>
    </w:p>
    <w:p w:rsidR="00025C22" w:rsidRPr="00994F6A" w:rsidRDefault="00025C22" w:rsidP="003063BF">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025C22" w:rsidRPr="00025C22" w:rsidRDefault="00025C22" w:rsidP="00025C22">
      <w:pPr>
        <w:pStyle w:val="Akapitzlist"/>
        <w:rPr>
          <w:b/>
        </w:rPr>
      </w:pPr>
    </w:p>
    <w:p w:rsidR="00171435" w:rsidRDefault="00025C22" w:rsidP="00BB6E65">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w:t>
      </w:r>
      <w:proofErr w:type="spellStart"/>
      <w:r w:rsidR="00BD6CC8">
        <w:t>t.j</w:t>
      </w:r>
      <w:proofErr w:type="spellEnd"/>
      <w:r w:rsidR="00BD6CC8">
        <w:t xml:space="preserve">. </w:t>
      </w:r>
      <w:r w:rsidRPr="00994F6A">
        <w:t>Dz.U. 20</w:t>
      </w:r>
      <w:r w:rsidR="00BD6CC8">
        <w:t xml:space="preserve">19 </w:t>
      </w:r>
      <w:r w:rsidRPr="00994F6A">
        <w:t>r</w:t>
      </w:r>
      <w:r w:rsidR="00BD6CC8">
        <w:t>.</w:t>
      </w:r>
      <w:r w:rsidRPr="00994F6A">
        <w:t>,</w:t>
      </w:r>
      <w:r w:rsidR="00BD6CC8">
        <w:t xml:space="preserve"> </w:t>
      </w:r>
      <w:r w:rsidRPr="00994F6A">
        <w:t xml:space="preserve">poz. </w:t>
      </w:r>
      <w:r w:rsidR="00BD6CC8">
        <w:t>1010</w:t>
      </w:r>
      <w:r w:rsidRPr="00994F6A">
        <w:t xml:space="preserve">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15719A" w:rsidRPr="00057707" w:rsidRDefault="0015719A" w:rsidP="00057707">
      <w:pPr>
        <w:pStyle w:val="Akapitzlist"/>
        <w:spacing w:after="0" w:line="240" w:lineRule="auto"/>
        <w:ind w:left="360"/>
        <w:jc w:val="center"/>
        <w:rPr>
          <w:rFonts w:cstheme="minorHAnsi"/>
          <w:b/>
        </w:rPr>
      </w:pPr>
      <w:r w:rsidRPr="00057707">
        <w:rPr>
          <w:rFonts w:cstheme="minorHAnsi"/>
          <w:b/>
        </w:rPr>
        <w:t>„Budowa drogi gminnej w kierunku strefy przemysłowej w km 0+000 do km 0+914 w miejscowości Podborze wraz z budową skrzyżowania i niezbędną infrastrukturą”</w:t>
      </w:r>
    </w:p>
    <w:p w:rsidR="00B573FA" w:rsidRPr="00DD5EE0" w:rsidRDefault="00B573FA" w:rsidP="00DD5EE0">
      <w:pPr>
        <w:jc w:val="center"/>
        <w:rPr>
          <w:rFonts w:cstheme="minorHAnsi"/>
          <w:b/>
          <w:bCs/>
          <w:sz w:val="24"/>
          <w:szCs w:val="24"/>
        </w:rPr>
      </w:pPr>
    </w:p>
    <w:p w:rsidR="00DE2765" w:rsidRPr="00E554FE" w:rsidRDefault="007A398A" w:rsidP="00E554FE">
      <w:pPr>
        <w:jc w:val="center"/>
        <w:rPr>
          <w:b/>
          <w:color w:val="000000"/>
          <w:shd w:val="clear" w:color="auto" w:fill="FFFF00"/>
        </w:rPr>
      </w:pPr>
      <w:r w:rsidRPr="00BD3000">
        <w:rPr>
          <w:b/>
          <w:color w:val="000000"/>
          <w:shd w:val="clear" w:color="auto" w:fill="FFFF00"/>
        </w:rPr>
        <w:t xml:space="preserve">Nie otwierać przed </w:t>
      </w:r>
      <w:r w:rsidR="00057707">
        <w:rPr>
          <w:b/>
          <w:color w:val="000000"/>
          <w:shd w:val="clear" w:color="auto" w:fill="FFFF00"/>
        </w:rPr>
        <w:t>14.</w:t>
      </w:r>
      <w:r w:rsidR="00FD5009">
        <w:rPr>
          <w:b/>
          <w:color w:val="000000"/>
          <w:shd w:val="clear" w:color="auto" w:fill="FFFF00"/>
        </w:rPr>
        <w:t>05</w:t>
      </w:r>
      <w:r w:rsidR="006500C8">
        <w:rPr>
          <w:b/>
          <w:color w:val="000000"/>
          <w:shd w:val="clear" w:color="auto" w:fill="FFFF00"/>
        </w:rPr>
        <w:t>.2020</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057707" w:rsidRPr="00057707">
        <w:rPr>
          <w:b/>
          <w:highlight w:val="yellow"/>
        </w:rPr>
        <w:t>14</w:t>
      </w:r>
      <w:r w:rsidR="00FD5009" w:rsidRPr="00057707">
        <w:rPr>
          <w:b/>
          <w:highlight w:val="yellow"/>
        </w:rPr>
        <w:t>.05</w:t>
      </w:r>
      <w:r w:rsidR="006500C8">
        <w:rPr>
          <w:b/>
          <w:highlight w:val="yellow"/>
        </w:rPr>
        <w:t>.2020</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 xml:space="preserve">Jeżeli oferta Wykonawcy nie będzie oznaczona w wymagany sposób, Zamawiający nie ponosi żadnej odpowiedzialności za nieterminowe wpłynięcie oferty. Zamawiający nie ponosi </w:t>
      </w:r>
      <w:r>
        <w:lastRenderedPageBreak/>
        <w:t>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Otwarcie ofert jest jawne i nastąpi tego samego dnia</w:t>
      </w:r>
      <w:r w:rsidR="00D330AA">
        <w:rPr>
          <w:b/>
        </w:rPr>
        <w:t xml:space="preserve"> </w:t>
      </w:r>
      <w:r w:rsidR="00D330AA" w:rsidRPr="00D330AA">
        <w:rPr>
          <w:b/>
          <w:highlight w:val="yellow"/>
        </w:rPr>
        <w:t>14</w:t>
      </w:r>
      <w:r w:rsidR="00FD5009" w:rsidRPr="00D330AA">
        <w:rPr>
          <w:b/>
          <w:highlight w:val="yellow"/>
        </w:rPr>
        <w:t>.</w:t>
      </w:r>
      <w:r w:rsidR="00FD5009">
        <w:rPr>
          <w:b/>
          <w:highlight w:val="yellow"/>
        </w:rPr>
        <w:t>05</w:t>
      </w:r>
      <w:r w:rsidR="00FA4BDD">
        <w:rPr>
          <w:b/>
          <w:highlight w:val="yellow"/>
        </w:rPr>
        <w:t>.2020</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611DC0" w:rsidRPr="005C2630" w:rsidRDefault="00D2511F" w:rsidP="00611DC0">
      <w:pPr>
        <w:pStyle w:val="Akapitzlist"/>
        <w:numPr>
          <w:ilvl w:val="1"/>
          <w:numId w:val="2"/>
        </w:numPr>
        <w:jc w:val="both"/>
      </w:pPr>
      <w:r w:rsidRPr="00D2511F">
        <w:t>Cena oferty uwzględnia wszystkie zobowiązania, musi być podana w PLN cyfrowo i słownie z wyodrębnieniem należnego podatku VAT.</w:t>
      </w:r>
    </w:p>
    <w:p w:rsidR="00F634FF" w:rsidRDefault="00327CA0" w:rsidP="00F634FF">
      <w:pPr>
        <w:pStyle w:val="Akapitzlist"/>
        <w:numPr>
          <w:ilvl w:val="1"/>
          <w:numId w:val="2"/>
        </w:numPr>
        <w:jc w:val="both"/>
      </w:pPr>
      <w:r w:rsidRPr="00327CA0">
        <w:t>Ceny jednostkowe należy wypełnić według załączon</w:t>
      </w:r>
      <w:r w:rsidR="00996862">
        <w:t>ego</w:t>
      </w:r>
      <w:r w:rsidRPr="00327CA0">
        <w:t xml:space="preserve"> wzor</w:t>
      </w:r>
      <w:r w:rsidR="00996862">
        <w:t>u</w:t>
      </w:r>
      <w:r w:rsidRPr="00327CA0">
        <w:t xml:space="preserve"> kosztorys</w:t>
      </w:r>
      <w:r w:rsidR="00996862">
        <w:t>u</w:t>
      </w:r>
      <w:r w:rsidRPr="00327CA0">
        <w:t xml:space="preserve"> ofertow</w:t>
      </w:r>
      <w:r w:rsidR="00996862">
        <w:t>ego</w:t>
      </w:r>
      <w:r w:rsidRPr="00327CA0">
        <w:t xml:space="preserve"> stano</w:t>
      </w:r>
      <w:r w:rsidR="00FD5009">
        <w:t>wiąc</w:t>
      </w:r>
      <w:r w:rsidR="00996862">
        <w:t>ego</w:t>
      </w:r>
      <w:r w:rsidR="00FD5009">
        <w:t xml:space="preserve"> Rozdział III</w:t>
      </w:r>
      <w:r w:rsidRPr="00327CA0">
        <w:t xml:space="preserve"> specyfikacji. </w:t>
      </w:r>
      <w:r w:rsidR="00FB2B35" w:rsidRPr="002B2FDB">
        <w:t xml:space="preserve">Dla każdej pozycji </w:t>
      </w:r>
      <w:r w:rsidR="00FB2B35">
        <w:t>kosztorys</w:t>
      </w:r>
      <w:r w:rsidR="00996862">
        <w:t>u</w:t>
      </w:r>
      <w:r w:rsidR="00FB2B35" w:rsidRPr="002B2FDB">
        <w:t xml:space="preserve"> należy podać cenę jednostkową netto zawierającą wszystkie koszty dla poszczególnej pozycji przedmiarowej.</w:t>
      </w:r>
      <w:r w:rsidR="00FB2B35">
        <w:t xml:space="preserve"> </w:t>
      </w:r>
      <w:r w:rsidRPr="00327CA0">
        <w:t>Wartość poszczególnych pozycji należy obliczyć jako iloczyn ceny jednostkowej netto i ilości jednostek. Wartość zada</w:t>
      </w:r>
      <w:r w:rsidR="00996862">
        <w:t>nia</w:t>
      </w:r>
      <w:r w:rsidRPr="00327CA0">
        <w:t xml:space="preserve"> należy obliczyć jako sumę wartości netto pozycji kosztorysu ofertowego. Do wyliczonych </w:t>
      </w:r>
      <w:r w:rsidR="00BA49D6">
        <w:t>wartości</w:t>
      </w:r>
      <w:r w:rsidRPr="00327CA0">
        <w:t xml:space="preserve"> netto należy doli</w:t>
      </w:r>
      <w:r w:rsidR="00996862">
        <w:t xml:space="preserve">czyć obowiązujący podatek VAT. </w:t>
      </w:r>
      <w:bookmarkStart w:id="0" w:name="_GoBack"/>
      <w:bookmarkEnd w:id="0"/>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lastRenderedPageBreak/>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E554FE" w:rsidRPr="00E554FE" w:rsidRDefault="0087769E" w:rsidP="00E554FE">
      <w:pPr>
        <w:ind w:left="9"/>
        <w:jc w:val="center"/>
        <w:rPr>
          <w:b/>
        </w:rPr>
      </w:pPr>
      <w:r w:rsidRPr="00B629A2">
        <w:rPr>
          <w:b/>
        </w:rPr>
        <w:t>cena oferty badanej</w:t>
      </w: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641F63">
      <w:pPr>
        <w:spacing w:after="0"/>
        <w:ind w:left="9"/>
        <w:jc w:val="both"/>
      </w:pPr>
      <w:r>
        <w:t>Gdzie:</w:t>
      </w:r>
    </w:p>
    <w:p w:rsidR="0087769E" w:rsidRDefault="0087769E" w:rsidP="00641F63">
      <w:pPr>
        <w:spacing w:after="0"/>
        <w:ind w:left="9"/>
        <w:jc w:val="both"/>
      </w:pPr>
      <w:r>
        <w:t xml:space="preserve">G </w:t>
      </w:r>
      <w:r>
        <w:rPr>
          <w:vertAlign w:val="subscript"/>
        </w:rPr>
        <w:t>o</w:t>
      </w:r>
      <w:r>
        <w:t xml:space="preserve"> – okres gwarancji i rękojmi za wady oferty ocenianej</w:t>
      </w:r>
    </w:p>
    <w:p w:rsidR="0087769E" w:rsidRDefault="0087769E" w:rsidP="00641F63">
      <w:pPr>
        <w:spacing w:after="0"/>
        <w:ind w:left="9"/>
        <w:jc w:val="both"/>
      </w:pPr>
      <w:r>
        <w:t xml:space="preserve">G </w:t>
      </w:r>
      <w:r>
        <w:rPr>
          <w:vertAlign w:val="subscript"/>
        </w:rPr>
        <w:t xml:space="preserve">min </w:t>
      </w:r>
      <w:r>
        <w:t>– okres gwarancji i rękojmi za wady minimalny</w:t>
      </w:r>
    </w:p>
    <w:p w:rsidR="0087769E" w:rsidRDefault="0087769E" w:rsidP="00641F63">
      <w:pPr>
        <w:spacing w:after="0"/>
        <w:ind w:left="9"/>
        <w:jc w:val="both"/>
      </w:pPr>
      <w:r>
        <w:lastRenderedPageBreak/>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w:t>
      </w:r>
      <w:proofErr w:type="spellStart"/>
      <w:r w:rsidRPr="000F7F50">
        <w:t>miesięc</w:t>
      </w:r>
      <w:r w:rsidR="00021B8D">
        <w:t>e</w:t>
      </w:r>
      <w:proofErr w:type="spellEnd"/>
      <w:r w:rsidRPr="000F7F50">
        <w:t xml:space="preserve">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611DC0" w:rsidRDefault="003F5012" w:rsidP="00E554FE">
      <w:pPr>
        <w:spacing w:after="0" w:line="240" w:lineRule="auto"/>
        <w:jc w:val="both"/>
      </w:pPr>
      <w:r>
        <w:t>- podając uzasadnienie faktyczne i prawne.</w:t>
      </w:r>
    </w:p>
    <w:p w:rsidR="00611DC0" w:rsidRDefault="003F5012" w:rsidP="00611DC0">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611DC0" w:rsidRDefault="00766ADC" w:rsidP="00611DC0">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027895">
      <w:pPr>
        <w:pStyle w:val="Akapitzlist"/>
        <w:numPr>
          <w:ilvl w:val="1"/>
          <w:numId w:val="2"/>
        </w:numPr>
        <w:spacing w:after="0" w:line="240" w:lineRule="auto"/>
        <w:ind w:left="360"/>
        <w:jc w:val="both"/>
      </w:pPr>
      <w:r>
        <w:t>Przed zawarciem umowy Wykonawca zobowiązany jest do:</w:t>
      </w:r>
    </w:p>
    <w:p w:rsidR="00021B8D" w:rsidRDefault="00021B8D" w:rsidP="00027895">
      <w:pPr>
        <w:pStyle w:val="Akapitzlist"/>
        <w:numPr>
          <w:ilvl w:val="0"/>
          <w:numId w:val="26"/>
        </w:numPr>
        <w:spacing w:after="0"/>
        <w:jc w:val="both"/>
      </w:pPr>
      <w:r>
        <w:t>Zabezpieczenie należytego wykonania umowy,</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lastRenderedPageBreak/>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A41712" w:rsidRDefault="00A41712" w:rsidP="00A41712">
      <w:pPr>
        <w:pStyle w:val="Styl1"/>
      </w:pPr>
      <w:r>
        <w:t xml:space="preserve">Zamawiający ustala zabezpieczenie należytego wykonania umowy zawartej w wyniku postępowania o udzielenie niniejszego zamówienia w wysokości </w:t>
      </w:r>
      <w:r w:rsidRPr="00021B8D">
        <w:rPr>
          <w:b/>
        </w:rPr>
        <w:t>10 % ceny całkowitej brutto</w:t>
      </w:r>
      <w:r>
        <w:t xml:space="preserve"> podanej w ofercie.</w:t>
      </w:r>
    </w:p>
    <w:p w:rsidR="00A41712" w:rsidRDefault="00A41712" w:rsidP="00725456">
      <w:pPr>
        <w:pStyle w:val="Styl1"/>
        <w:spacing w:after="0" w:line="240" w:lineRule="auto"/>
        <w:jc w:val="both"/>
      </w:pPr>
      <w:r>
        <w:t>Wybrany Wykonawca zobowiązany jest wnieść zabezpieczenie należytego wykonania nie później niż do czasu zawarcia umowy.</w:t>
      </w:r>
    </w:p>
    <w:p w:rsidR="00A41712" w:rsidRDefault="00A41712" w:rsidP="00725456">
      <w:pPr>
        <w:pStyle w:val="Styl1"/>
        <w:spacing w:after="0" w:line="240" w:lineRule="auto"/>
        <w:jc w:val="both"/>
      </w:pPr>
      <w:r>
        <w:t>Zabezpieczenie należytego wykonania umowy może być wniesione według wyboru Wykonawcy w jednej lub w kilku następujących formach:</w:t>
      </w:r>
    </w:p>
    <w:p w:rsidR="00A41712" w:rsidRDefault="00A41712" w:rsidP="00A41712">
      <w:pPr>
        <w:pStyle w:val="Akapitzlist"/>
        <w:numPr>
          <w:ilvl w:val="0"/>
          <w:numId w:val="49"/>
        </w:numPr>
        <w:spacing w:after="0" w:line="240" w:lineRule="auto"/>
        <w:jc w:val="both"/>
      </w:pPr>
      <w:r>
        <w:t>pieniądzu;</w:t>
      </w:r>
    </w:p>
    <w:p w:rsidR="00A41712" w:rsidRDefault="00A41712" w:rsidP="00725456">
      <w:pPr>
        <w:pStyle w:val="Akapitzlist"/>
        <w:numPr>
          <w:ilvl w:val="0"/>
          <w:numId w:val="49"/>
        </w:numPr>
        <w:spacing w:after="0" w:line="240" w:lineRule="auto"/>
        <w:jc w:val="both"/>
      </w:pPr>
      <w:r>
        <w:t>poręczeniach bankowych lub poręczeniach spółdzielczej kasy oszczędnościowo-kredytowej, z tym że zobowiązanie kasy jest zawsze zobowiązaniem pieniężnym;</w:t>
      </w:r>
    </w:p>
    <w:p w:rsidR="00A41712" w:rsidRDefault="00A41712" w:rsidP="00725456">
      <w:pPr>
        <w:pStyle w:val="Akapitzlist"/>
        <w:numPr>
          <w:ilvl w:val="0"/>
          <w:numId w:val="49"/>
        </w:numPr>
        <w:spacing w:after="0" w:line="240" w:lineRule="auto"/>
        <w:jc w:val="both"/>
      </w:pPr>
      <w:r>
        <w:t>gwarancjach bankowych;</w:t>
      </w:r>
    </w:p>
    <w:p w:rsidR="00A41712" w:rsidRDefault="00A41712" w:rsidP="00725456">
      <w:pPr>
        <w:pStyle w:val="Akapitzlist"/>
        <w:numPr>
          <w:ilvl w:val="0"/>
          <w:numId w:val="49"/>
        </w:numPr>
        <w:spacing w:after="0" w:line="240" w:lineRule="auto"/>
        <w:jc w:val="both"/>
      </w:pPr>
      <w:r>
        <w:t>gwarancjach ubezpieczeniowych;</w:t>
      </w:r>
    </w:p>
    <w:p w:rsidR="00A41712" w:rsidRDefault="00A41712" w:rsidP="00725456">
      <w:pPr>
        <w:pStyle w:val="Akapitzlist"/>
        <w:numPr>
          <w:ilvl w:val="0"/>
          <w:numId w:val="49"/>
        </w:numPr>
        <w:spacing w:after="0" w:line="240" w:lineRule="auto"/>
        <w:jc w:val="both"/>
      </w:pPr>
      <w:r>
        <w:t>poręczeniach udzielanych przez podmioty, o których mowa w art. 6b ust. 5 pkt 2 ustawy z dnia 9 listopada 2000 r. o utworzeniu Polskiej Agencji Rozwoju Przedsiębiorczości.</w:t>
      </w:r>
    </w:p>
    <w:p w:rsidR="00A41712" w:rsidRDefault="00A41712" w:rsidP="00725456">
      <w:pPr>
        <w:pStyle w:val="Styl1"/>
        <w:spacing w:after="0" w:line="240" w:lineRule="auto"/>
        <w:jc w:val="both"/>
      </w:pPr>
      <w:r>
        <w:t>Zamawiający nie wyraża zgody na wniesienie zabezpieczenia w formach przewidzianych w art. 148 ust. 2 ustawy PZP.</w:t>
      </w:r>
    </w:p>
    <w:p w:rsidR="00A41712" w:rsidRDefault="00A41712" w:rsidP="00725456">
      <w:pPr>
        <w:pStyle w:val="Styl1"/>
        <w:spacing w:after="0" w:line="240" w:lineRule="auto"/>
        <w:jc w:val="both"/>
      </w:pPr>
      <w:r>
        <w:t>W przypadku wniesienia wadium w pieniądzu Wykonawca może wyrazić zgodę na zaliczenie kwoty wadium na poczet zabezpieczenia.</w:t>
      </w:r>
    </w:p>
    <w:p w:rsidR="00A41712" w:rsidRDefault="00A41712" w:rsidP="00725456">
      <w:pPr>
        <w:pStyle w:val="Styl1"/>
        <w:spacing w:after="0" w:line="240" w:lineRule="auto"/>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A41712" w:rsidRDefault="00A41712" w:rsidP="00725456">
      <w:pPr>
        <w:pStyle w:val="Styl1"/>
        <w:spacing w:after="0" w:line="240" w:lineRule="auto"/>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A41712" w:rsidRDefault="00A41712" w:rsidP="00725456">
      <w:pPr>
        <w:pStyle w:val="Styl1"/>
        <w:spacing w:after="0" w:line="240" w:lineRule="auto"/>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A41712" w:rsidRDefault="00A41712" w:rsidP="00725456">
      <w:pPr>
        <w:pStyle w:val="Styl1"/>
        <w:spacing w:after="0" w:line="240" w:lineRule="auto"/>
        <w:jc w:val="both"/>
      </w:pPr>
      <w: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A41712" w:rsidRDefault="00A41712" w:rsidP="00725456">
      <w:pPr>
        <w:pStyle w:val="Styl1"/>
        <w:spacing w:after="0" w:line="240" w:lineRule="auto"/>
        <w:jc w:val="both"/>
      </w:pPr>
      <w:r>
        <w:t xml:space="preserve">Zamawiający nie wyraża zgody na tworzenie zabezpieczenia przez potrącenia z należności za częściowo wykonane roboty budowlane (art. 150 ust. 3 </w:t>
      </w:r>
      <w:proofErr w:type="spellStart"/>
      <w:r>
        <w:t>Pzp</w:t>
      </w:r>
      <w:proofErr w:type="spellEnd"/>
      <w:r>
        <w:t>).</w:t>
      </w:r>
    </w:p>
    <w:p w:rsidR="00A41712" w:rsidRPr="00A41712" w:rsidRDefault="00A41712" w:rsidP="00725456">
      <w:pPr>
        <w:pStyle w:val="Styl1"/>
        <w:spacing w:after="0" w:line="240" w:lineRule="auto"/>
        <w:jc w:val="both"/>
      </w:pPr>
      <w:r>
        <w:t xml:space="preserve">Z dokumentu stwierdzającego wniesienie zabezpieczenia w formie innej niż w pieniądzu, musi wynikać, że zabezpieczenie dotyczy należytego wykonania umowy w sprawie zamówienia publicznego na zadanie: </w:t>
      </w:r>
      <w:r w:rsidRPr="00A41712">
        <w:rPr>
          <w:rFonts w:cstheme="minorHAnsi"/>
          <w:b/>
        </w:rPr>
        <w:t>„Budowa drogi gminnej w kierunku strefy przemysłowej w km 0+000 do km 0+914 w miejscowości Podborze wraz z budową skrzyżowania i niezbędną infrastrukturą”</w:t>
      </w:r>
      <w:r w:rsidRPr="00A41712">
        <w:rPr>
          <w:b/>
        </w:rPr>
        <w:t>.</w:t>
      </w:r>
    </w:p>
    <w:p w:rsidR="00A41712" w:rsidRDefault="00A41712" w:rsidP="00725456">
      <w:pPr>
        <w:pStyle w:val="Styl1"/>
        <w:spacing w:after="0" w:line="240" w:lineRule="auto"/>
        <w:jc w:val="both"/>
      </w:pPr>
      <w:r>
        <w:t xml:space="preserve">Zabezpieczenie wnoszone w pieniądzu Wykonawca wpłaci przelewem na następujący rachunek bankowy Zamawiającego: Bank Spółdzielczy Radomyśl Wielki Nr 80 9479 0009 2001 </w:t>
      </w:r>
      <w:r>
        <w:lastRenderedPageBreak/>
        <w:t xml:space="preserve">0000 0169 0033 z podaniem tytułu: </w:t>
      </w:r>
      <w:r w:rsidRPr="00152CE0">
        <w:rPr>
          <w:b/>
          <w:i/>
        </w:rPr>
        <w:t>„zabezpieczenie należytego wykonania umowy na zadanie pn.:</w:t>
      </w:r>
      <w:r w:rsidRPr="00152CE0">
        <w:rPr>
          <w:i/>
        </w:rPr>
        <w:t xml:space="preserve"> </w:t>
      </w:r>
      <w:r w:rsidRPr="00152CE0">
        <w:rPr>
          <w:rFonts w:cstheme="minorHAnsi"/>
          <w:b/>
          <w:i/>
        </w:rPr>
        <w:t>„Budowa drogi gminnej w kierunku strefy przemysłowej w km 0+000 do km 0+914 w miejscowości Podborze wraz z budową skrzyżowania i niezbędną infrastrukturą”</w:t>
      </w:r>
      <w:r w:rsidRPr="00152CE0">
        <w:rPr>
          <w:i/>
        </w:rPr>
        <w:t>.</w:t>
      </w:r>
    </w:p>
    <w:p w:rsidR="00A41712" w:rsidRDefault="00A41712" w:rsidP="00725456">
      <w:pPr>
        <w:pStyle w:val="Styl1"/>
        <w:spacing w:after="0" w:line="240" w:lineRule="auto"/>
        <w:jc w:val="both"/>
      </w:pPr>
      <w: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A41712" w:rsidRDefault="00A41712" w:rsidP="00725456">
      <w:pPr>
        <w:pStyle w:val="Styl1"/>
        <w:spacing w:after="0" w:line="240" w:lineRule="auto"/>
        <w:jc w:val="both"/>
      </w:pPr>
      <w:r>
        <w:t>Zabezpieczenie należytego wykonania Umowy zostanie zwolnione i zwrócone Wykonawcy w następujący sposób:</w:t>
      </w:r>
    </w:p>
    <w:p w:rsidR="00A41712" w:rsidRDefault="00A41712" w:rsidP="00A41712">
      <w:pPr>
        <w:pStyle w:val="Styl1"/>
        <w:numPr>
          <w:ilvl w:val="0"/>
          <w:numId w:val="50"/>
        </w:numPr>
        <w:spacing w:after="0" w:line="240" w:lineRule="auto"/>
        <w:jc w:val="both"/>
      </w:pPr>
      <w:r>
        <w:t>70% wartości zabezpieczenia w terminie 30 dni od dnia wykonania Kontraktu i uznania go przez Zamawiającego za należycie wykonany,</w:t>
      </w:r>
    </w:p>
    <w:p w:rsidR="00A41712" w:rsidRDefault="00A41712" w:rsidP="00A41712">
      <w:pPr>
        <w:pStyle w:val="Styl1"/>
        <w:numPr>
          <w:ilvl w:val="0"/>
          <w:numId w:val="50"/>
        </w:numPr>
        <w:spacing w:after="0" w:line="240" w:lineRule="auto"/>
        <w:jc w:val="both"/>
      </w:pPr>
      <w:r>
        <w:t>30% wartości zabezpieczenia nie później niż w 15 dniu po upływie okresu rękojmi za wady.</w:t>
      </w:r>
    </w:p>
    <w:p w:rsidR="00050BB8" w:rsidRDefault="00A41712" w:rsidP="00A41712">
      <w:pPr>
        <w:pStyle w:val="Styl1"/>
        <w:jc w:val="both"/>
      </w:pPr>
      <w:r>
        <w:t>Jeżeli Wykonawca, którego oferta została wybrana nie wniesie zabezpieczenia należytego wykonania umowy, Zamawiający może wybrać najkorzystniejszą ofertę spośród pozostałych ofert stosownie do treści art. 94 ust. 3 ustawy PZP.</w:t>
      </w: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lastRenderedPageBreak/>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E554FE">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637CBC" w:rsidRPr="00637CBC" w:rsidRDefault="00637CBC" w:rsidP="00637CBC">
      <w:pPr>
        <w:pStyle w:val="Akapitzlist"/>
        <w:numPr>
          <w:ilvl w:val="0"/>
          <w:numId w:val="41"/>
        </w:numPr>
        <w:suppressAutoHyphens/>
        <w:autoSpaceDN w:val="0"/>
        <w:spacing w:after="0" w:line="240" w:lineRule="auto"/>
        <w:contextualSpacing w:val="0"/>
        <w:textAlignment w:val="baseline"/>
        <w:rPr>
          <w:rFonts w:ascii="Calibri" w:eastAsia="SimSun" w:hAnsi="Calibri" w:cs="F"/>
          <w:b/>
          <w:vanish/>
          <w:kern w:val="3"/>
        </w:rPr>
      </w:pPr>
    </w:p>
    <w:p w:rsidR="00637CBC" w:rsidRDefault="00637CBC" w:rsidP="00637CBC">
      <w:pPr>
        <w:pStyle w:val="Standard"/>
        <w:numPr>
          <w:ilvl w:val="0"/>
          <w:numId w:val="41"/>
        </w:numPr>
        <w:spacing w:after="0"/>
        <w:rPr>
          <w:b/>
        </w:rPr>
      </w:pPr>
      <w:r>
        <w:rPr>
          <w:b/>
        </w:rPr>
        <w:t>OBOWIĄZEK INFORMACYJNY</w:t>
      </w:r>
    </w:p>
    <w:p w:rsidR="00637CBC" w:rsidRDefault="00637CBC" w:rsidP="00637CBC">
      <w:pPr>
        <w:pStyle w:val="Standard"/>
        <w:spacing w:after="0"/>
        <w:jc w:val="both"/>
        <w:rPr>
          <w:b/>
        </w:rPr>
      </w:pPr>
      <w:r>
        <w:rPr>
          <w:b/>
        </w:rPr>
        <w:t xml:space="preserve">dotyczący przetwarzania danych osobowych w związku z udzielaniem zamówień publicznych na podstawie ustawy z dnia 29 stycznia 2004 r. Prawo zamówień publicznych (t. j. Dz. U. z 2019 r. poz. 1843) – dalej zwanej „ustawą </w:t>
      </w:r>
      <w:proofErr w:type="spellStart"/>
      <w:r>
        <w:rPr>
          <w:b/>
        </w:rPr>
        <w:t>Pzp</w:t>
      </w:r>
      <w:proofErr w:type="spellEnd"/>
      <w:r>
        <w:rPr>
          <w:b/>
        </w:rPr>
        <w:t>”</w:t>
      </w:r>
    </w:p>
    <w:p w:rsidR="00637CBC" w:rsidRDefault="00637CBC" w:rsidP="00637CBC">
      <w:pPr>
        <w:pStyle w:val="Standard"/>
        <w:spacing w:after="0"/>
        <w:jc w:val="both"/>
      </w:pPr>
    </w:p>
    <w:p w:rsidR="00637CBC" w:rsidRDefault="00637CBC" w:rsidP="00637CBC">
      <w:pPr>
        <w:pStyle w:val="Standard"/>
        <w:spacing w:after="0"/>
        <w:jc w:val="both"/>
      </w:pPr>
      <w:r>
        <w:t xml:space="preserve">Na podstawie art. 13 ust. 1 i 2 Rozporządzenia Parlamentu Europejskiego i Rady (UE) 2016/679 </w:t>
      </w:r>
      <w:r>
        <w:br/>
        <w:t>z 27 kwietnia 2016 r. w sprawie ochrony osób fizycznych w związku z przetwarzaniem danych osobowych i w sprawie swobodnego przepływu takich danych oraz uchylenia dyrektywy 95/46/WE (Dz. U. UE. L. 2016, nr 119, s. 1 ze zm.), zwanego dalej „RODO”, informuję, że:</w:t>
      </w:r>
    </w:p>
    <w:p w:rsidR="00637CBC" w:rsidRDefault="00637CBC" w:rsidP="00637CBC">
      <w:pPr>
        <w:pStyle w:val="Standard"/>
        <w:numPr>
          <w:ilvl w:val="0"/>
          <w:numId w:val="42"/>
        </w:numPr>
        <w:spacing w:after="0"/>
        <w:jc w:val="both"/>
      </w:pPr>
      <w:r>
        <w:t>Administratorem Pani/Pana danych osobowych jest Burmistrz Radomyśla Wielkiego  z siedzibą mieszczącą się pod adresem: Rynek 32, 39-310 Radomyśl Wielki, tel. 14 6819121– reprezentowany przez Józefa Rybińskiego, zwanego dalej „Administratorem” lub „Zamawiającym”.</w:t>
      </w:r>
    </w:p>
    <w:p w:rsidR="00637CBC" w:rsidRDefault="00637CBC" w:rsidP="00637CBC">
      <w:pPr>
        <w:pStyle w:val="Standard"/>
        <w:numPr>
          <w:ilvl w:val="0"/>
          <w:numId w:val="42"/>
        </w:numPr>
        <w:spacing w:after="0"/>
        <w:jc w:val="both"/>
      </w:pPr>
      <w:r>
        <w:t>Administrator wyznaczył Inspektora Ochrony Danych, z którym może Pani/Pan skontaktować się pod adresem e-mali: inspektor@cbi24.pl lub pisemnie, kierując korespondencję pod adres siedziby Administratora.</w:t>
      </w:r>
    </w:p>
    <w:p w:rsidR="00637CBC" w:rsidRDefault="00637CBC" w:rsidP="00E57098">
      <w:pPr>
        <w:pStyle w:val="Standard"/>
        <w:numPr>
          <w:ilvl w:val="0"/>
          <w:numId w:val="42"/>
        </w:numPr>
        <w:spacing w:after="0"/>
        <w:jc w:val="both"/>
      </w:pPr>
      <w:r>
        <w:t>Pani/Pana dane osobowe będą przetwarzane w celu przeprowadzenia postępowania o udzielenie zamówienia, opisanego w art. 2 pkt 7a) Ustawy z dnia 29 stycznia 2004 r. – Prawo zamówień publicznych (</w:t>
      </w:r>
      <w:proofErr w:type="spellStart"/>
      <w:r>
        <w:t>t.j</w:t>
      </w:r>
      <w:proofErr w:type="spellEnd"/>
      <w:r>
        <w:t>. Dz. U. z 2019 poz. 1843 – zwaną dalej „</w:t>
      </w:r>
      <w:proofErr w:type="spellStart"/>
      <w:r>
        <w:t>Pzp</w:t>
      </w:r>
      <w:proofErr w:type="spellEnd"/>
      <w:r>
        <w:t xml:space="preserve">”), </w:t>
      </w:r>
      <w:r w:rsidR="00E57098" w:rsidRPr="00E57098">
        <w:t>„Budowa drogi gminnej w kierunku strefy przemysłowej w km 0+000 do km 0+914 w miejscowości Podborze wraz z budową skrzyżowania i niezbędną infrastrukturą”</w:t>
      </w:r>
      <w:r>
        <w:t>.</w:t>
      </w:r>
    </w:p>
    <w:p w:rsidR="00637CBC" w:rsidRDefault="00637CBC" w:rsidP="00637CBC">
      <w:pPr>
        <w:pStyle w:val="Standard"/>
        <w:numPr>
          <w:ilvl w:val="0"/>
          <w:numId w:val="42"/>
        </w:numPr>
        <w:spacing w:after="0"/>
        <w:jc w:val="both"/>
      </w:pPr>
      <w:r>
        <w:t xml:space="preserve"> Pani/Pana danych osobowe będą przetwarzane na podstawie art. 6 ust. 1 lit c) RODO – jako niezbędne do wypełnienia obowiązku prawnego ciążącego na Administratorze na mocy przepisów ustawy </w:t>
      </w:r>
      <w:proofErr w:type="spellStart"/>
      <w:r>
        <w:t>Pzp</w:t>
      </w:r>
      <w:proofErr w:type="spellEnd"/>
      <w:r>
        <w:t>, Ustawy z dnia 27 sierpnia 2009 r. o finansach publicznych (t. j. Dz. U. z 201</w:t>
      </w:r>
      <w:r w:rsidR="007E3FD6">
        <w:t>9</w:t>
      </w:r>
      <w:r>
        <w:t xml:space="preserve"> r. poz. </w:t>
      </w:r>
      <w:r w:rsidR="007E3FD6">
        <w:t>869</w:t>
      </w:r>
      <w:r>
        <w:t xml:space="preserve"> ze zm.) oraz innych przepisów prawa.</w:t>
      </w:r>
    </w:p>
    <w:p w:rsidR="00637CBC" w:rsidRDefault="00637CBC" w:rsidP="00637CBC">
      <w:pPr>
        <w:pStyle w:val="Standard"/>
        <w:numPr>
          <w:ilvl w:val="0"/>
          <w:numId w:val="42"/>
        </w:numPr>
        <w:spacing w:after="0"/>
        <w:jc w:val="both"/>
      </w:pPr>
      <w:r>
        <w:t xml:space="preserve">W związku z przetwarzaniem danych w celu, o którym mowa w ust. 3, odbiorcami Pani/Pana danych osobowych mogą być: </w:t>
      </w:r>
    </w:p>
    <w:p w:rsidR="00637CBC" w:rsidRDefault="00637CBC" w:rsidP="00637CBC">
      <w:pPr>
        <w:pStyle w:val="Standard"/>
        <w:numPr>
          <w:ilvl w:val="0"/>
          <w:numId w:val="43"/>
        </w:numPr>
        <w:spacing w:after="0"/>
        <w:jc w:val="both"/>
      </w:pPr>
      <w:r>
        <w:t>podmioty uprawnione do tego na podstawie przepisów prawa;</w:t>
      </w:r>
    </w:p>
    <w:p w:rsidR="00637CBC" w:rsidRDefault="00637CBC" w:rsidP="00637CBC">
      <w:pPr>
        <w:pStyle w:val="Standard"/>
        <w:numPr>
          <w:ilvl w:val="0"/>
          <w:numId w:val="43"/>
        </w:numPr>
        <w:spacing w:after="0"/>
        <w:jc w:val="both"/>
      </w:pPr>
      <w:r>
        <w:t xml:space="preserve">osoby lub podmioty, którym udostępniona zostanie dokumentacja postępowania w oparciu o art. 8 oraz art. 96 ust. 3 ustawy </w:t>
      </w:r>
      <w:proofErr w:type="spellStart"/>
      <w:r>
        <w:t>Pzp</w:t>
      </w:r>
      <w:proofErr w:type="spellEnd"/>
      <w:r>
        <w:t>.</w:t>
      </w:r>
    </w:p>
    <w:p w:rsidR="00637CBC" w:rsidRDefault="00637CBC" w:rsidP="00637CBC">
      <w:pPr>
        <w:pStyle w:val="Standard"/>
        <w:numPr>
          <w:ilvl w:val="0"/>
          <w:numId w:val="42"/>
        </w:numPr>
        <w:spacing w:after="0"/>
        <w:jc w:val="both"/>
      </w:pPr>
      <w:r>
        <w:t>Administrator nie ma zamiaru przekazywać Pani/Pana danych osobowych do państwa trzeciego lub organizacji międzynarodowych/ma zamiar przekazać Pani/Pana dane osobowe do państwa trzeciego lub organizacji międzynarodowej</w:t>
      </w:r>
      <w:r>
        <w:rPr>
          <w:vertAlign w:val="superscript"/>
        </w:rPr>
        <w:footnoteReference w:id="1"/>
      </w:r>
      <w:r>
        <w:t>.</w:t>
      </w:r>
    </w:p>
    <w:p w:rsidR="00637CBC" w:rsidRDefault="00637CBC" w:rsidP="00637CBC">
      <w:pPr>
        <w:pStyle w:val="Standard"/>
        <w:numPr>
          <w:ilvl w:val="0"/>
          <w:numId w:val="42"/>
        </w:numPr>
        <w:spacing w:after="0"/>
        <w:jc w:val="both"/>
      </w:pPr>
      <w:r>
        <w:t xml:space="preserve">Pani/Pana dane osobowe będą przechowywane przez okres niezbędny do realizacji celu określonego w ust. 3. Zgodnie z art. 97 ust. 1 </w:t>
      </w:r>
      <w:proofErr w:type="spellStart"/>
      <w:r>
        <w:t>Pzp</w:t>
      </w:r>
      <w:proofErr w:type="spellEnd"/>
      <w: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w:t>
      </w:r>
      <w:r>
        <w:lastRenderedPageBreak/>
        <w:t>o narodowym zasobie archiwalnym i archiwach (t. j. Dz. U. z 2019 r. poz. 553 ze zm.), akty wykonawcze do tej ustawy oraz inne przepisy prawa.</w:t>
      </w:r>
    </w:p>
    <w:p w:rsidR="00637CBC" w:rsidRDefault="00637CBC" w:rsidP="00637CBC">
      <w:pPr>
        <w:pStyle w:val="Standard"/>
        <w:numPr>
          <w:ilvl w:val="0"/>
          <w:numId w:val="42"/>
        </w:numPr>
        <w:spacing w:after="0"/>
        <w:jc w:val="both"/>
      </w:pPr>
      <w:r>
        <w:t>W związku z przetwarzaniem przez Administratora Pani/Pana danych osobowych przysługuje Pani/Panu:</w:t>
      </w:r>
    </w:p>
    <w:p w:rsidR="00637CBC" w:rsidRDefault="00637CBC" w:rsidP="00637CBC">
      <w:pPr>
        <w:pStyle w:val="Standard"/>
        <w:numPr>
          <w:ilvl w:val="0"/>
          <w:numId w:val="44"/>
        </w:numPr>
        <w:spacing w:after="0"/>
        <w:jc w:val="both"/>
      </w:pPr>
      <w: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Pr>
          <w:vertAlign w:val="superscript"/>
        </w:rPr>
        <w:footnoteReference w:id="2"/>
      </w:r>
      <w:r>
        <w:t>.</w:t>
      </w:r>
    </w:p>
    <w:p w:rsidR="00637CBC" w:rsidRDefault="00637CBC" w:rsidP="00637CBC">
      <w:pPr>
        <w:pStyle w:val="Standard"/>
        <w:numPr>
          <w:ilvl w:val="0"/>
          <w:numId w:val="44"/>
        </w:numPr>
        <w:spacing w:after="0"/>
        <w:jc w:val="both"/>
      </w:pPr>
      <w: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t>Pzp</w:t>
      </w:r>
      <w:proofErr w:type="spellEnd"/>
      <w:r>
        <w:rPr>
          <w:vertAlign w:val="superscript"/>
        </w:rPr>
        <w:footnoteReference w:id="3"/>
      </w:r>
      <w:r>
        <w:t xml:space="preserve"> ani naruszać integralności protokołu oraz jego załączników</w:t>
      </w:r>
      <w:r>
        <w:rPr>
          <w:vertAlign w:val="superscript"/>
        </w:rPr>
        <w:footnoteReference w:id="4"/>
      </w:r>
      <w:r>
        <w:t>.</w:t>
      </w:r>
    </w:p>
    <w:p w:rsidR="00637CBC" w:rsidRDefault="00637CBC" w:rsidP="00637CBC">
      <w:pPr>
        <w:pStyle w:val="Standard"/>
        <w:numPr>
          <w:ilvl w:val="0"/>
          <w:numId w:val="44"/>
        </w:numPr>
        <w:spacing w:after="0"/>
        <w:jc w:val="both"/>
      </w:pPr>
      <w:r>
        <w:t>prawo do żądania ograniczenia przetwarzania danych osobowych, w następujących przypadkach:</w:t>
      </w:r>
    </w:p>
    <w:p w:rsidR="00637CBC" w:rsidRDefault="00637CBC" w:rsidP="00637CBC">
      <w:pPr>
        <w:pStyle w:val="Standard"/>
        <w:numPr>
          <w:ilvl w:val="0"/>
          <w:numId w:val="45"/>
        </w:numPr>
        <w:spacing w:after="0"/>
        <w:jc w:val="both"/>
      </w:pPr>
      <w:r>
        <w:t>gdy kwestionuje Pani/Pan prawidłowość danych osobowych – na okres pozwalający Administratorowi sprawdzić prawidłowość tych danych,</w:t>
      </w:r>
    </w:p>
    <w:p w:rsidR="00637CBC" w:rsidRDefault="00637CBC" w:rsidP="00637CBC">
      <w:pPr>
        <w:pStyle w:val="Standard"/>
        <w:numPr>
          <w:ilvl w:val="0"/>
          <w:numId w:val="45"/>
        </w:numPr>
        <w:spacing w:after="0"/>
        <w:jc w:val="both"/>
      </w:pPr>
      <w:r>
        <w:t>jeżeli przetwarzanie jest niezgodne z prawem, a Pani/Pan sprzeciwia się usunięciu danych osobowych, żądając w zamian ograniczenia ich wykorzystania,</w:t>
      </w:r>
    </w:p>
    <w:p w:rsidR="00637CBC" w:rsidRDefault="00637CBC" w:rsidP="00637CBC">
      <w:pPr>
        <w:pStyle w:val="Standard"/>
        <w:numPr>
          <w:ilvl w:val="0"/>
          <w:numId w:val="45"/>
        </w:numPr>
        <w:spacing w:after="0"/>
        <w:jc w:val="both"/>
      </w:pPr>
      <w:r>
        <w:t>Administrator nie potrzebuje już danych do celów przetwarzania, ale są one potrzebne Pani/Panu do ustalenia, dochodzenia lub obrony roszczeń,</w:t>
      </w:r>
    </w:p>
    <w:p w:rsidR="00637CBC" w:rsidRDefault="00637CBC" w:rsidP="00637CBC">
      <w:pPr>
        <w:pStyle w:val="Standard"/>
        <w:numPr>
          <w:ilvl w:val="0"/>
          <w:numId w:val="45"/>
        </w:numPr>
        <w:spacing w:after="0"/>
        <w:jc w:val="both"/>
      </w:pPr>
      <w:r>
        <w:t>Jeżeli wniosła/wniósł Pani/Pan sprzeciw na mocy art. 21 ust. 1 RODO wobec przetwarzania – do czasu stwierdzenia, czy prawnie uzasadnione podstawy po stronie Administratora są nadrzędne wobec podstaw sprzeciwu</w:t>
      </w:r>
    </w:p>
    <w:p w:rsidR="00637CBC" w:rsidRDefault="00637CBC" w:rsidP="00637CBC">
      <w:pPr>
        <w:pStyle w:val="Standard"/>
        <w:spacing w:after="0"/>
        <w:ind w:left="720"/>
        <w:jc w:val="both"/>
      </w:pPr>
      <w:r>
        <w:t>- przy czym, nie ogranicza przetwarzania danych osobowych do czasu zakończenia postępowania o udzielenie zamówienia publicznego lub konkursu</w:t>
      </w:r>
      <w:r>
        <w:rPr>
          <w:vertAlign w:val="superscript"/>
        </w:rPr>
        <w:footnoteReference w:id="5"/>
      </w:r>
      <w: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Pr>
          <w:vertAlign w:val="superscript"/>
        </w:rPr>
        <w:footnoteReference w:id="6"/>
      </w:r>
      <w:r>
        <w:t>.</w:t>
      </w:r>
    </w:p>
    <w:p w:rsidR="00637CBC" w:rsidRDefault="00637CBC" w:rsidP="00637CBC">
      <w:pPr>
        <w:pStyle w:val="Standard"/>
        <w:numPr>
          <w:ilvl w:val="0"/>
          <w:numId w:val="42"/>
        </w:numPr>
        <w:spacing w:after="0"/>
        <w:jc w:val="both"/>
      </w:pPr>
      <w:r>
        <w:t>W związku z przetwarzaniem przez Administratora Pani/Pana danych osobowych nie przysługuje Pani/Panu:</w:t>
      </w:r>
    </w:p>
    <w:p w:rsidR="00637CBC" w:rsidRDefault="00637CBC" w:rsidP="00637CBC">
      <w:pPr>
        <w:pStyle w:val="Standard"/>
        <w:numPr>
          <w:ilvl w:val="0"/>
          <w:numId w:val="46"/>
        </w:numPr>
        <w:spacing w:after="0"/>
        <w:jc w:val="both"/>
      </w:pPr>
      <w:r>
        <w:t>prawo do usunięcia danych osobowych, gdyż na podstawie art. 17 ust. 3 lit. b), d) oraz e) RODO – prawo to nie ma zastosowania w związku z przetwarzaniem danych w celu wskazanym w ust. 3;</w:t>
      </w:r>
    </w:p>
    <w:p w:rsidR="00637CBC" w:rsidRDefault="00637CBC" w:rsidP="00637CBC">
      <w:pPr>
        <w:pStyle w:val="Standard"/>
        <w:numPr>
          <w:ilvl w:val="0"/>
          <w:numId w:val="46"/>
        </w:numPr>
        <w:spacing w:after="0"/>
        <w:jc w:val="both"/>
      </w:pPr>
      <w:r>
        <w:t>prawo do sprzeciwu wobec przetwarzania danych osobowych na podstawie art. 21 RODO, gdyż nie ma ono zastosowania, jeżeli podstawę prawną przetwarzania tych danych stanowi art. 6 ust. 1 lit. c) RODO;</w:t>
      </w:r>
    </w:p>
    <w:p w:rsidR="00637CBC" w:rsidRDefault="00637CBC" w:rsidP="00637CBC">
      <w:pPr>
        <w:pStyle w:val="Standard"/>
        <w:numPr>
          <w:ilvl w:val="0"/>
          <w:numId w:val="46"/>
        </w:numPr>
        <w:spacing w:after="0"/>
        <w:jc w:val="both"/>
      </w:pPr>
      <w:r>
        <w:t xml:space="preserve">prawa do przenoszenia danych na zasadach określonych w art. 20 RODO. </w:t>
      </w:r>
    </w:p>
    <w:p w:rsidR="00637CBC" w:rsidRDefault="00637CBC" w:rsidP="00637CBC">
      <w:pPr>
        <w:pStyle w:val="Standard"/>
        <w:numPr>
          <w:ilvl w:val="0"/>
          <w:numId w:val="42"/>
        </w:numPr>
        <w:spacing w:after="0"/>
        <w:jc w:val="both"/>
      </w:pPr>
      <w:r>
        <w:t>Przysługuje Pani/Panu prawo wniesienia skargi do organu nadzorczego - Prezesa Urzędu Ochrony Danych Osobowych, pod adres: ul. Stawki 2, 00-193 Warszawa.</w:t>
      </w:r>
    </w:p>
    <w:p w:rsidR="00637CBC" w:rsidRDefault="00637CBC" w:rsidP="00637CBC">
      <w:pPr>
        <w:pStyle w:val="Standard"/>
        <w:numPr>
          <w:ilvl w:val="0"/>
          <w:numId w:val="42"/>
        </w:numPr>
        <w:spacing w:after="0"/>
        <w:jc w:val="both"/>
      </w:pPr>
      <w:r>
        <w:lastRenderedPageBreak/>
        <w:t xml:space="preserve">Podanie przez Panią/Pana danych osobowych jest wymogiem ustawowym. Niepodanie danych osobowych skutkuje konsekwencjami określonymi w przepisach </w:t>
      </w:r>
      <w:proofErr w:type="spellStart"/>
      <w:r>
        <w:t>Pzp</w:t>
      </w:r>
      <w:proofErr w:type="spellEnd"/>
      <w:r>
        <w:t xml:space="preserve">, w szczególności wykluczeniem z postępowania o udzielenie zamówienia, w myśl art. 24 ust. 1 pkt 12 </w:t>
      </w:r>
      <w:proofErr w:type="spellStart"/>
      <w:r>
        <w:t>Pzp</w:t>
      </w:r>
      <w:proofErr w:type="spellEnd"/>
      <w:r>
        <w:t>.</w:t>
      </w:r>
    </w:p>
    <w:p w:rsidR="00637CBC" w:rsidRDefault="00637CBC" w:rsidP="00637CBC">
      <w:pPr>
        <w:pStyle w:val="Standard"/>
        <w:numPr>
          <w:ilvl w:val="0"/>
          <w:numId w:val="42"/>
        </w:numPr>
        <w:spacing w:after="0"/>
        <w:jc w:val="both"/>
      </w:pPr>
      <w:r>
        <w:t xml:space="preserve">Nie podlega Pani/Pan decyzjom, które opierają się wyłącznie na zautomatyzowanym przetwarzaniu, w tym profilowaniu, o którym mowa w art. 22 RODO. </w:t>
      </w:r>
    </w:p>
    <w:p w:rsidR="00637CBC" w:rsidRDefault="00637CBC" w:rsidP="00637CBC">
      <w:pPr>
        <w:pStyle w:val="Standard"/>
        <w:spacing w:after="0"/>
        <w:jc w:val="both"/>
      </w:pPr>
      <w:r>
        <w:t>Zgodnie z treścią art. 8a ust. 2 -4 Ustawy z dnia 29 stycznia 2004 r. Prawo zamówień publicznych (tj. Dz.U. z 2019 r., poz. 1843), informujemy iż:</w:t>
      </w:r>
    </w:p>
    <w:p w:rsidR="00637CBC" w:rsidRDefault="00637CBC" w:rsidP="00637CBC">
      <w:pPr>
        <w:pStyle w:val="Standard"/>
        <w:numPr>
          <w:ilvl w:val="0"/>
          <w:numId w:val="47"/>
        </w:numPr>
        <w:spacing w:after="0"/>
        <w:jc w:val="both"/>
      </w:pPr>
      <w: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37CBC" w:rsidRDefault="00637CBC" w:rsidP="00637CBC">
      <w:pPr>
        <w:pStyle w:val="Standard"/>
        <w:numPr>
          <w:ilvl w:val="0"/>
          <w:numId w:val="47"/>
        </w:numPr>
        <w:spacing w:after="0"/>
        <w:jc w:val="both"/>
      </w:pPr>
      <w: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637CBC" w:rsidRDefault="00637CBC" w:rsidP="00637CBC">
      <w:pPr>
        <w:pStyle w:val="Standard"/>
        <w:numPr>
          <w:ilvl w:val="0"/>
          <w:numId w:val="47"/>
        </w:numPr>
        <w:spacing w:after="0"/>
        <w:jc w:val="both"/>
      </w:pPr>
      <w:r>
        <w:t xml:space="preserve">wystąpienie z żądaniem, o którym mowa w art. 18 ust. 1 rozporządzenia 2016/679, nie ogranicza przetwarzania danych osobowych do czasu zakończenia postępowania o udzielenie zamówienia publicznego lub konkursu. </w:t>
      </w:r>
    </w:p>
    <w:p w:rsidR="00637CBC" w:rsidRDefault="00637CBC" w:rsidP="00637CBC">
      <w:pPr>
        <w:pStyle w:val="Standard"/>
        <w:spacing w:after="0"/>
        <w:jc w:val="both"/>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B55" w:rsidRDefault="00E91B55" w:rsidP="005115E5">
      <w:pPr>
        <w:spacing w:after="0" w:line="240" w:lineRule="auto"/>
      </w:pPr>
      <w:r>
        <w:separator/>
      </w:r>
    </w:p>
  </w:endnote>
  <w:endnote w:type="continuationSeparator" w:id="0">
    <w:p w:rsidR="00E91B55" w:rsidRDefault="00E91B55"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B55" w:rsidRDefault="00E91B55" w:rsidP="005115E5">
      <w:pPr>
        <w:spacing w:after="0" w:line="240" w:lineRule="auto"/>
      </w:pPr>
      <w:r>
        <w:separator/>
      </w:r>
    </w:p>
  </w:footnote>
  <w:footnote w:type="continuationSeparator" w:id="0">
    <w:p w:rsidR="00E91B55" w:rsidRDefault="00E91B55" w:rsidP="005115E5">
      <w:pPr>
        <w:spacing w:after="0" w:line="240" w:lineRule="auto"/>
      </w:pPr>
      <w:r>
        <w:continuationSeparator/>
      </w:r>
    </w:p>
  </w:footnote>
  <w:footnote w:id="1">
    <w:p w:rsidR="00EA4AA9" w:rsidRDefault="00EA4AA9" w:rsidP="00637CBC">
      <w:pPr>
        <w:pStyle w:val="Tekstprzypisudolnego"/>
      </w:pPr>
      <w:r>
        <w:rPr>
          <w:rStyle w:val="Odwoanieprzypisudolnego"/>
        </w:rPr>
        <w:footnoteRef/>
      </w:r>
      <w:r>
        <w:t xml:space="preserve"> W takim przypadku należy udostępnić 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EA4AA9" w:rsidRDefault="00EA4AA9" w:rsidP="00637CBC">
      <w:pPr>
        <w:pStyle w:val="Tekstprzypisudolnego"/>
      </w:pPr>
      <w:r>
        <w:rPr>
          <w:rStyle w:val="Odwoanieprzypisudolnego"/>
        </w:rPr>
        <w:footnoteRef/>
      </w:r>
      <w:r>
        <w:t xml:space="preserve"> Zob. art. 8a ust. 2 oraz art. 97 ust. 1a ustawy </w:t>
      </w:r>
      <w:proofErr w:type="spellStart"/>
      <w:r>
        <w:t>Pzp</w:t>
      </w:r>
      <w:proofErr w:type="spellEnd"/>
      <w:r>
        <w:t>.</w:t>
      </w:r>
    </w:p>
  </w:footnote>
  <w:footnote w:id="3">
    <w:p w:rsidR="00EA4AA9" w:rsidRDefault="00EA4AA9" w:rsidP="00637CBC">
      <w:pPr>
        <w:pStyle w:val="Tekstprzypisudolnego"/>
      </w:pPr>
      <w:r>
        <w:rPr>
          <w:rStyle w:val="Odwoanieprzypisudolnego"/>
        </w:rPr>
        <w:footnoteRef/>
      </w:r>
      <w:r>
        <w:t xml:space="preserve"> Zob. art. 8a ust. 3 ustawy </w:t>
      </w:r>
      <w:proofErr w:type="spellStart"/>
      <w:r>
        <w:t>Pzp</w:t>
      </w:r>
      <w:proofErr w:type="spellEnd"/>
      <w:r>
        <w:t>.</w:t>
      </w:r>
    </w:p>
  </w:footnote>
  <w:footnote w:id="4">
    <w:p w:rsidR="00EA4AA9" w:rsidRDefault="00EA4AA9" w:rsidP="00637CBC">
      <w:pPr>
        <w:pStyle w:val="Tekstprzypisudolnego"/>
      </w:pPr>
      <w:r>
        <w:rPr>
          <w:rStyle w:val="Odwoanieprzypisudolnego"/>
        </w:rPr>
        <w:footnoteRef/>
      </w:r>
      <w:r>
        <w:t xml:space="preserve"> Zob. art. 97 ust. 1b ustawy </w:t>
      </w:r>
      <w:proofErr w:type="spellStart"/>
      <w:r>
        <w:t>Pzp</w:t>
      </w:r>
      <w:proofErr w:type="spellEnd"/>
      <w:r>
        <w:t>.</w:t>
      </w:r>
    </w:p>
  </w:footnote>
  <w:footnote w:id="5">
    <w:p w:rsidR="00EA4AA9" w:rsidRDefault="00EA4AA9" w:rsidP="00637CBC">
      <w:pPr>
        <w:pStyle w:val="Tekstprzypisudolnego"/>
      </w:pPr>
      <w:r>
        <w:rPr>
          <w:rStyle w:val="Odwoanieprzypisudolnego"/>
        </w:rPr>
        <w:footnoteRef/>
      </w:r>
      <w:r>
        <w:t xml:space="preserve"> Zob. art. 8a ust. 4 ustawy </w:t>
      </w:r>
      <w:proofErr w:type="spellStart"/>
      <w:r>
        <w:t>Pzp</w:t>
      </w:r>
      <w:proofErr w:type="spellEnd"/>
      <w:r>
        <w:t>.</w:t>
      </w:r>
    </w:p>
  </w:footnote>
  <w:footnote w:id="6">
    <w:p w:rsidR="00EA4AA9" w:rsidRDefault="00EA4AA9" w:rsidP="00637CBC">
      <w:pPr>
        <w:pStyle w:val="Tekstprzypisudolnego"/>
      </w:pPr>
      <w:r>
        <w:rPr>
          <w:rStyle w:val="Odwoanieprzypisudolnego"/>
        </w:rPr>
        <w:footnoteRef/>
      </w:r>
      <w:r>
        <w:t xml:space="preserve"> Zob. art. 96 ust. 3b ustawy </w:t>
      </w:r>
      <w:proofErr w:type="spellStart"/>
      <w:r>
        <w:t>Pzp</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E68CD"/>
    <w:multiLevelType w:val="multilevel"/>
    <w:tmpl w:val="A9FE0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23A14"/>
    <w:multiLevelType w:val="multilevel"/>
    <w:tmpl w:val="A82E7C4C"/>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8"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F1F53"/>
    <w:multiLevelType w:val="multilevel"/>
    <w:tmpl w:val="E8C09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C04FBC"/>
    <w:multiLevelType w:val="multilevel"/>
    <w:tmpl w:val="6C78A3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0C45B3"/>
    <w:multiLevelType w:val="hybridMultilevel"/>
    <w:tmpl w:val="5CDCE380"/>
    <w:lvl w:ilvl="0" w:tplc="8F5C2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68E32EB"/>
    <w:multiLevelType w:val="hybridMultilevel"/>
    <w:tmpl w:val="C17066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92446"/>
    <w:multiLevelType w:val="multilevel"/>
    <w:tmpl w:val="9B848E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AA20CF"/>
    <w:multiLevelType w:val="hybridMultilevel"/>
    <w:tmpl w:val="59904B5C"/>
    <w:lvl w:ilvl="0" w:tplc="2D7087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629A0882"/>
    <w:multiLevelType w:val="multilevel"/>
    <w:tmpl w:val="1AA80362"/>
    <w:styleLink w:val="WWNum18"/>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DCC576A"/>
    <w:multiLevelType w:val="multilevel"/>
    <w:tmpl w:val="681A4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7"/>
  </w:num>
  <w:num w:numId="2">
    <w:abstractNumId w:val="28"/>
  </w:num>
  <w:num w:numId="3">
    <w:abstractNumId w:val="44"/>
  </w:num>
  <w:num w:numId="4">
    <w:abstractNumId w:val="46"/>
  </w:num>
  <w:num w:numId="5">
    <w:abstractNumId w:val="36"/>
  </w:num>
  <w:num w:numId="6">
    <w:abstractNumId w:val="14"/>
  </w:num>
  <w:num w:numId="7">
    <w:abstractNumId w:val="47"/>
  </w:num>
  <w:num w:numId="8">
    <w:abstractNumId w:val="33"/>
  </w:num>
  <w:num w:numId="9">
    <w:abstractNumId w:val="25"/>
  </w:num>
  <w:num w:numId="10">
    <w:abstractNumId w:val="15"/>
  </w:num>
  <w:num w:numId="11">
    <w:abstractNumId w:val="10"/>
  </w:num>
  <w:num w:numId="12">
    <w:abstractNumId w:val="38"/>
  </w:num>
  <w:num w:numId="13">
    <w:abstractNumId w:val="21"/>
  </w:num>
  <w:num w:numId="14">
    <w:abstractNumId w:val="23"/>
  </w:num>
  <w:num w:numId="15">
    <w:abstractNumId w:val="48"/>
  </w:num>
  <w:num w:numId="16">
    <w:abstractNumId w:val="4"/>
  </w:num>
  <w:num w:numId="17">
    <w:abstractNumId w:val="8"/>
  </w:num>
  <w:num w:numId="18">
    <w:abstractNumId w:val="12"/>
  </w:num>
  <w:num w:numId="19">
    <w:abstractNumId w:val="18"/>
  </w:num>
  <w:num w:numId="20">
    <w:abstractNumId w:val="9"/>
  </w:num>
  <w:num w:numId="21">
    <w:abstractNumId w:val="7"/>
  </w:num>
  <w:num w:numId="22">
    <w:abstractNumId w:val="3"/>
  </w:num>
  <w:num w:numId="23">
    <w:abstractNumId w:val="19"/>
  </w:num>
  <w:num w:numId="24">
    <w:abstractNumId w:val="34"/>
  </w:num>
  <w:num w:numId="25">
    <w:abstractNumId w:val="5"/>
  </w:num>
  <w:num w:numId="26">
    <w:abstractNumId w:val="31"/>
  </w:num>
  <w:num w:numId="27">
    <w:abstractNumId w:val="26"/>
  </w:num>
  <w:num w:numId="28">
    <w:abstractNumId w:val="16"/>
  </w:num>
  <w:num w:numId="29">
    <w:abstractNumId w:val="1"/>
  </w:num>
  <w:num w:numId="30">
    <w:abstractNumId w:val="2"/>
  </w:num>
  <w:num w:numId="31">
    <w:abstractNumId w:val="32"/>
  </w:num>
  <w:num w:numId="32">
    <w:abstractNumId w:val="40"/>
  </w:num>
  <w:num w:numId="33">
    <w:abstractNumId w:val="41"/>
  </w:num>
  <w:num w:numId="34">
    <w:abstractNumId w:val="45"/>
  </w:num>
  <w:num w:numId="35">
    <w:abstractNumId w:val="0"/>
  </w:num>
  <w:num w:numId="36">
    <w:abstractNumId w:val="11"/>
  </w:num>
  <w:num w:numId="37">
    <w:abstractNumId w:val="13"/>
  </w:num>
  <w:num w:numId="38">
    <w:abstractNumId w:val="30"/>
  </w:num>
  <w:num w:numId="39">
    <w:abstractNumId w:val="24"/>
  </w:num>
  <w:num w:numId="40">
    <w:abstractNumId w:val="35"/>
  </w:num>
  <w:num w:numId="41">
    <w:abstractNumId w:val="43"/>
  </w:num>
  <w:num w:numId="42">
    <w:abstractNumId w:val="6"/>
  </w:num>
  <w:num w:numId="43">
    <w:abstractNumId w:val="39"/>
  </w:num>
  <w:num w:numId="44">
    <w:abstractNumId w:val="49"/>
  </w:num>
  <w:num w:numId="45">
    <w:abstractNumId w:val="22"/>
  </w:num>
  <w:num w:numId="46">
    <w:abstractNumId w:val="20"/>
  </w:num>
  <w:num w:numId="47">
    <w:abstractNumId w:val="17"/>
  </w:num>
  <w:num w:numId="48">
    <w:abstractNumId w:val="29"/>
  </w:num>
  <w:num w:numId="49">
    <w:abstractNumId w:val="4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1B8D"/>
    <w:rsid w:val="00025C22"/>
    <w:rsid w:val="00027638"/>
    <w:rsid w:val="00027895"/>
    <w:rsid w:val="000329BD"/>
    <w:rsid w:val="00033F47"/>
    <w:rsid w:val="00037632"/>
    <w:rsid w:val="0004675C"/>
    <w:rsid w:val="00047837"/>
    <w:rsid w:val="00050BB8"/>
    <w:rsid w:val="00054618"/>
    <w:rsid w:val="00057707"/>
    <w:rsid w:val="000578C6"/>
    <w:rsid w:val="000729C8"/>
    <w:rsid w:val="00073A4A"/>
    <w:rsid w:val="0007489B"/>
    <w:rsid w:val="00077DC9"/>
    <w:rsid w:val="00081560"/>
    <w:rsid w:val="00084B41"/>
    <w:rsid w:val="00084DB2"/>
    <w:rsid w:val="00085B8D"/>
    <w:rsid w:val="00093837"/>
    <w:rsid w:val="000A24E2"/>
    <w:rsid w:val="000B0051"/>
    <w:rsid w:val="000B478A"/>
    <w:rsid w:val="000B62E4"/>
    <w:rsid w:val="000C2629"/>
    <w:rsid w:val="000C5B2A"/>
    <w:rsid w:val="000C5E91"/>
    <w:rsid w:val="000D465F"/>
    <w:rsid w:val="000D7C2B"/>
    <w:rsid w:val="000E6338"/>
    <w:rsid w:val="000E753A"/>
    <w:rsid w:val="000F37FA"/>
    <w:rsid w:val="000F4D25"/>
    <w:rsid w:val="000F6150"/>
    <w:rsid w:val="000F7F50"/>
    <w:rsid w:val="0010127A"/>
    <w:rsid w:val="0010396D"/>
    <w:rsid w:val="001074A9"/>
    <w:rsid w:val="001079DE"/>
    <w:rsid w:val="00114BF1"/>
    <w:rsid w:val="001150CF"/>
    <w:rsid w:val="00115F7C"/>
    <w:rsid w:val="001278F7"/>
    <w:rsid w:val="001305C4"/>
    <w:rsid w:val="00130683"/>
    <w:rsid w:val="00130A8B"/>
    <w:rsid w:val="001321D5"/>
    <w:rsid w:val="00135E77"/>
    <w:rsid w:val="0013665F"/>
    <w:rsid w:val="0014029A"/>
    <w:rsid w:val="001447CC"/>
    <w:rsid w:val="00151F59"/>
    <w:rsid w:val="00152CE0"/>
    <w:rsid w:val="00154C0B"/>
    <w:rsid w:val="0015719A"/>
    <w:rsid w:val="00160BA5"/>
    <w:rsid w:val="00171435"/>
    <w:rsid w:val="001715D4"/>
    <w:rsid w:val="00172A7D"/>
    <w:rsid w:val="001769E7"/>
    <w:rsid w:val="00176B91"/>
    <w:rsid w:val="001801C9"/>
    <w:rsid w:val="0018120A"/>
    <w:rsid w:val="0018195B"/>
    <w:rsid w:val="00183808"/>
    <w:rsid w:val="00184021"/>
    <w:rsid w:val="001A4AA6"/>
    <w:rsid w:val="001C61ED"/>
    <w:rsid w:val="001E3356"/>
    <w:rsid w:val="001E77F9"/>
    <w:rsid w:val="001F2167"/>
    <w:rsid w:val="001F2CC4"/>
    <w:rsid w:val="001F6565"/>
    <w:rsid w:val="001F67B1"/>
    <w:rsid w:val="00201EDF"/>
    <w:rsid w:val="00205671"/>
    <w:rsid w:val="00205FD6"/>
    <w:rsid w:val="00207DD6"/>
    <w:rsid w:val="00211092"/>
    <w:rsid w:val="002113C5"/>
    <w:rsid w:val="00213355"/>
    <w:rsid w:val="0024320C"/>
    <w:rsid w:val="00251CC3"/>
    <w:rsid w:val="00252D62"/>
    <w:rsid w:val="00254C59"/>
    <w:rsid w:val="0027799D"/>
    <w:rsid w:val="0028327E"/>
    <w:rsid w:val="00284132"/>
    <w:rsid w:val="00285824"/>
    <w:rsid w:val="002911C5"/>
    <w:rsid w:val="00291FC6"/>
    <w:rsid w:val="002940FA"/>
    <w:rsid w:val="002979C9"/>
    <w:rsid w:val="002A72B8"/>
    <w:rsid w:val="002B0A5E"/>
    <w:rsid w:val="002B1D83"/>
    <w:rsid w:val="002B553F"/>
    <w:rsid w:val="002B6824"/>
    <w:rsid w:val="002B7C91"/>
    <w:rsid w:val="002C065E"/>
    <w:rsid w:val="002D2CA9"/>
    <w:rsid w:val="002D6D2D"/>
    <w:rsid w:val="002E1D97"/>
    <w:rsid w:val="002E208F"/>
    <w:rsid w:val="002E78FA"/>
    <w:rsid w:val="002F4701"/>
    <w:rsid w:val="002F5606"/>
    <w:rsid w:val="003040A6"/>
    <w:rsid w:val="003063BF"/>
    <w:rsid w:val="00314602"/>
    <w:rsid w:val="00322191"/>
    <w:rsid w:val="00322476"/>
    <w:rsid w:val="00327CA0"/>
    <w:rsid w:val="00336DEB"/>
    <w:rsid w:val="00342A62"/>
    <w:rsid w:val="00343BE7"/>
    <w:rsid w:val="00343EF3"/>
    <w:rsid w:val="00344821"/>
    <w:rsid w:val="00357382"/>
    <w:rsid w:val="003717B2"/>
    <w:rsid w:val="00374812"/>
    <w:rsid w:val="00377EB7"/>
    <w:rsid w:val="00382FD5"/>
    <w:rsid w:val="00383076"/>
    <w:rsid w:val="00383744"/>
    <w:rsid w:val="00391AF8"/>
    <w:rsid w:val="00395F05"/>
    <w:rsid w:val="003A0CBF"/>
    <w:rsid w:val="003A6D43"/>
    <w:rsid w:val="003B2B51"/>
    <w:rsid w:val="003B4957"/>
    <w:rsid w:val="003B7AE9"/>
    <w:rsid w:val="003C31DF"/>
    <w:rsid w:val="003C47B9"/>
    <w:rsid w:val="003D1450"/>
    <w:rsid w:val="003D7218"/>
    <w:rsid w:val="003E23A7"/>
    <w:rsid w:val="003E290B"/>
    <w:rsid w:val="003E3197"/>
    <w:rsid w:val="003E4D34"/>
    <w:rsid w:val="003E7975"/>
    <w:rsid w:val="003F0597"/>
    <w:rsid w:val="003F5012"/>
    <w:rsid w:val="00405304"/>
    <w:rsid w:val="00406C33"/>
    <w:rsid w:val="00406CE1"/>
    <w:rsid w:val="0043041B"/>
    <w:rsid w:val="00431EFE"/>
    <w:rsid w:val="00435575"/>
    <w:rsid w:val="00444524"/>
    <w:rsid w:val="004453F3"/>
    <w:rsid w:val="00447386"/>
    <w:rsid w:val="0045000A"/>
    <w:rsid w:val="00451CFE"/>
    <w:rsid w:val="00451D19"/>
    <w:rsid w:val="00453A0D"/>
    <w:rsid w:val="00454118"/>
    <w:rsid w:val="00454355"/>
    <w:rsid w:val="0046076F"/>
    <w:rsid w:val="004852ED"/>
    <w:rsid w:val="00486907"/>
    <w:rsid w:val="00487910"/>
    <w:rsid w:val="0049161D"/>
    <w:rsid w:val="00493BBA"/>
    <w:rsid w:val="00495714"/>
    <w:rsid w:val="0049660E"/>
    <w:rsid w:val="0049766E"/>
    <w:rsid w:val="00497C22"/>
    <w:rsid w:val="004A28AD"/>
    <w:rsid w:val="004A5ADE"/>
    <w:rsid w:val="004D46C7"/>
    <w:rsid w:val="004D5578"/>
    <w:rsid w:val="004E3711"/>
    <w:rsid w:val="004E3EE6"/>
    <w:rsid w:val="0050339A"/>
    <w:rsid w:val="00504A81"/>
    <w:rsid w:val="005103FC"/>
    <w:rsid w:val="005115E5"/>
    <w:rsid w:val="00511E27"/>
    <w:rsid w:val="00524C54"/>
    <w:rsid w:val="00530582"/>
    <w:rsid w:val="00531BD2"/>
    <w:rsid w:val="00540B33"/>
    <w:rsid w:val="00542674"/>
    <w:rsid w:val="00546C1A"/>
    <w:rsid w:val="00547F94"/>
    <w:rsid w:val="0056295F"/>
    <w:rsid w:val="00565EF6"/>
    <w:rsid w:val="0057169F"/>
    <w:rsid w:val="005750C0"/>
    <w:rsid w:val="005849E6"/>
    <w:rsid w:val="005876A5"/>
    <w:rsid w:val="005A0543"/>
    <w:rsid w:val="005A6043"/>
    <w:rsid w:val="005A6E59"/>
    <w:rsid w:val="005C0EDE"/>
    <w:rsid w:val="005C2630"/>
    <w:rsid w:val="005C46FB"/>
    <w:rsid w:val="005C7C16"/>
    <w:rsid w:val="005D5BBF"/>
    <w:rsid w:val="005D6EF9"/>
    <w:rsid w:val="005E4AFB"/>
    <w:rsid w:val="00600A4D"/>
    <w:rsid w:val="00604673"/>
    <w:rsid w:val="00611DC0"/>
    <w:rsid w:val="006143CF"/>
    <w:rsid w:val="00614485"/>
    <w:rsid w:val="00616508"/>
    <w:rsid w:val="00622882"/>
    <w:rsid w:val="006279DC"/>
    <w:rsid w:val="006313C6"/>
    <w:rsid w:val="00631666"/>
    <w:rsid w:val="00635BCE"/>
    <w:rsid w:val="00637CBC"/>
    <w:rsid w:val="00641F63"/>
    <w:rsid w:val="0064217F"/>
    <w:rsid w:val="0064553D"/>
    <w:rsid w:val="00647F3E"/>
    <w:rsid w:val="006500C8"/>
    <w:rsid w:val="006517B0"/>
    <w:rsid w:val="006614A7"/>
    <w:rsid w:val="006627D4"/>
    <w:rsid w:val="00684CC7"/>
    <w:rsid w:val="00691517"/>
    <w:rsid w:val="00691884"/>
    <w:rsid w:val="0069281A"/>
    <w:rsid w:val="00694273"/>
    <w:rsid w:val="00697018"/>
    <w:rsid w:val="006977B2"/>
    <w:rsid w:val="006A22A1"/>
    <w:rsid w:val="006B19DA"/>
    <w:rsid w:val="006B47BB"/>
    <w:rsid w:val="006B6070"/>
    <w:rsid w:val="006C1478"/>
    <w:rsid w:val="006C66E3"/>
    <w:rsid w:val="006D1B1E"/>
    <w:rsid w:val="006D7832"/>
    <w:rsid w:val="006E1F48"/>
    <w:rsid w:val="006E2553"/>
    <w:rsid w:val="006E391A"/>
    <w:rsid w:val="006F093E"/>
    <w:rsid w:val="006F676E"/>
    <w:rsid w:val="00704659"/>
    <w:rsid w:val="007047F5"/>
    <w:rsid w:val="00705B98"/>
    <w:rsid w:val="0071135C"/>
    <w:rsid w:val="00715717"/>
    <w:rsid w:val="00715A6A"/>
    <w:rsid w:val="00715BF7"/>
    <w:rsid w:val="00715D7D"/>
    <w:rsid w:val="00720A79"/>
    <w:rsid w:val="00725456"/>
    <w:rsid w:val="007262E6"/>
    <w:rsid w:val="00732CD0"/>
    <w:rsid w:val="0073534E"/>
    <w:rsid w:val="00766ADC"/>
    <w:rsid w:val="00771FC9"/>
    <w:rsid w:val="007772C6"/>
    <w:rsid w:val="00782FDD"/>
    <w:rsid w:val="00783C47"/>
    <w:rsid w:val="007862F3"/>
    <w:rsid w:val="0079251B"/>
    <w:rsid w:val="00792893"/>
    <w:rsid w:val="007A398A"/>
    <w:rsid w:val="007A5088"/>
    <w:rsid w:val="007A5431"/>
    <w:rsid w:val="007A7684"/>
    <w:rsid w:val="007B28B8"/>
    <w:rsid w:val="007B3E00"/>
    <w:rsid w:val="007B4E70"/>
    <w:rsid w:val="007C685A"/>
    <w:rsid w:val="007D0A52"/>
    <w:rsid w:val="007D288F"/>
    <w:rsid w:val="007D6FBD"/>
    <w:rsid w:val="007E0827"/>
    <w:rsid w:val="007E0A1C"/>
    <w:rsid w:val="007E0DF5"/>
    <w:rsid w:val="007E265D"/>
    <w:rsid w:val="007E304B"/>
    <w:rsid w:val="007E3FD6"/>
    <w:rsid w:val="007E7CEC"/>
    <w:rsid w:val="007F337E"/>
    <w:rsid w:val="007F7EF3"/>
    <w:rsid w:val="00802226"/>
    <w:rsid w:val="008133B0"/>
    <w:rsid w:val="00820E19"/>
    <w:rsid w:val="00823865"/>
    <w:rsid w:val="008239D3"/>
    <w:rsid w:val="0083168A"/>
    <w:rsid w:val="008348EB"/>
    <w:rsid w:val="00841C00"/>
    <w:rsid w:val="0084744D"/>
    <w:rsid w:val="0085044A"/>
    <w:rsid w:val="00853EBC"/>
    <w:rsid w:val="008561A1"/>
    <w:rsid w:val="0085762A"/>
    <w:rsid w:val="00861CC4"/>
    <w:rsid w:val="00865650"/>
    <w:rsid w:val="0087412F"/>
    <w:rsid w:val="008762B6"/>
    <w:rsid w:val="0087769E"/>
    <w:rsid w:val="00890EEC"/>
    <w:rsid w:val="0089279A"/>
    <w:rsid w:val="0089518C"/>
    <w:rsid w:val="00895AE3"/>
    <w:rsid w:val="008A4C83"/>
    <w:rsid w:val="008B17A2"/>
    <w:rsid w:val="008B399D"/>
    <w:rsid w:val="008B3FA0"/>
    <w:rsid w:val="008B6477"/>
    <w:rsid w:val="008C09F9"/>
    <w:rsid w:val="008C3700"/>
    <w:rsid w:val="008D1158"/>
    <w:rsid w:val="008D1A3A"/>
    <w:rsid w:val="008D2EBF"/>
    <w:rsid w:val="008D554F"/>
    <w:rsid w:val="008E1B22"/>
    <w:rsid w:val="008E1EED"/>
    <w:rsid w:val="008F3736"/>
    <w:rsid w:val="00904F41"/>
    <w:rsid w:val="00904F5A"/>
    <w:rsid w:val="009053C5"/>
    <w:rsid w:val="00912106"/>
    <w:rsid w:val="00912EEC"/>
    <w:rsid w:val="00915A63"/>
    <w:rsid w:val="0091791C"/>
    <w:rsid w:val="0092596F"/>
    <w:rsid w:val="0093257D"/>
    <w:rsid w:val="0093562D"/>
    <w:rsid w:val="00944F47"/>
    <w:rsid w:val="009533DD"/>
    <w:rsid w:val="009605F4"/>
    <w:rsid w:val="0096357F"/>
    <w:rsid w:val="009637A8"/>
    <w:rsid w:val="009647B1"/>
    <w:rsid w:val="00964E47"/>
    <w:rsid w:val="0097091C"/>
    <w:rsid w:val="00976917"/>
    <w:rsid w:val="00981703"/>
    <w:rsid w:val="00984B9E"/>
    <w:rsid w:val="00992536"/>
    <w:rsid w:val="00993113"/>
    <w:rsid w:val="00994F6A"/>
    <w:rsid w:val="00995A81"/>
    <w:rsid w:val="00996862"/>
    <w:rsid w:val="009B424F"/>
    <w:rsid w:val="009C5C77"/>
    <w:rsid w:val="009F1055"/>
    <w:rsid w:val="009F220D"/>
    <w:rsid w:val="009F4B64"/>
    <w:rsid w:val="00A012E5"/>
    <w:rsid w:val="00A02927"/>
    <w:rsid w:val="00A14789"/>
    <w:rsid w:val="00A14EF0"/>
    <w:rsid w:val="00A33DD4"/>
    <w:rsid w:val="00A35C21"/>
    <w:rsid w:val="00A413EB"/>
    <w:rsid w:val="00A41712"/>
    <w:rsid w:val="00A47E68"/>
    <w:rsid w:val="00A569D0"/>
    <w:rsid w:val="00A57117"/>
    <w:rsid w:val="00A85ACA"/>
    <w:rsid w:val="00A870AE"/>
    <w:rsid w:val="00A94851"/>
    <w:rsid w:val="00A94D59"/>
    <w:rsid w:val="00A95FEF"/>
    <w:rsid w:val="00A96D61"/>
    <w:rsid w:val="00A96EE0"/>
    <w:rsid w:val="00AA2DA0"/>
    <w:rsid w:val="00AA3DFB"/>
    <w:rsid w:val="00AA5572"/>
    <w:rsid w:val="00AB42A0"/>
    <w:rsid w:val="00AB4BD3"/>
    <w:rsid w:val="00AB77FB"/>
    <w:rsid w:val="00AC74D5"/>
    <w:rsid w:val="00AE1463"/>
    <w:rsid w:val="00AE175F"/>
    <w:rsid w:val="00AE1E5D"/>
    <w:rsid w:val="00AE5304"/>
    <w:rsid w:val="00AF32A7"/>
    <w:rsid w:val="00B0445A"/>
    <w:rsid w:val="00B04FFE"/>
    <w:rsid w:val="00B11CB3"/>
    <w:rsid w:val="00B135AD"/>
    <w:rsid w:val="00B22C16"/>
    <w:rsid w:val="00B24BB3"/>
    <w:rsid w:val="00B2670F"/>
    <w:rsid w:val="00B41D58"/>
    <w:rsid w:val="00B421D3"/>
    <w:rsid w:val="00B43F78"/>
    <w:rsid w:val="00B44945"/>
    <w:rsid w:val="00B46001"/>
    <w:rsid w:val="00B5240C"/>
    <w:rsid w:val="00B53924"/>
    <w:rsid w:val="00B5654C"/>
    <w:rsid w:val="00B56D2A"/>
    <w:rsid w:val="00B573FA"/>
    <w:rsid w:val="00B629A2"/>
    <w:rsid w:val="00B64366"/>
    <w:rsid w:val="00B655F1"/>
    <w:rsid w:val="00B66CC1"/>
    <w:rsid w:val="00B7473B"/>
    <w:rsid w:val="00B77E7C"/>
    <w:rsid w:val="00B91085"/>
    <w:rsid w:val="00B93349"/>
    <w:rsid w:val="00BA3420"/>
    <w:rsid w:val="00BA40AC"/>
    <w:rsid w:val="00BA49D6"/>
    <w:rsid w:val="00BB5257"/>
    <w:rsid w:val="00BB6E65"/>
    <w:rsid w:val="00BC05B8"/>
    <w:rsid w:val="00BC40EE"/>
    <w:rsid w:val="00BC4741"/>
    <w:rsid w:val="00BD1815"/>
    <w:rsid w:val="00BD6CC8"/>
    <w:rsid w:val="00BD7B86"/>
    <w:rsid w:val="00BE4038"/>
    <w:rsid w:val="00BF12B6"/>
    <w:rsid w:val="00BF1DC7"/>
    <w:rsid w:val="00BF25FF"/>
    <w:rsid w:val="00C03225"/>
    <w:rsid w:val="00C058C8"/>
    <w:rsid w:val="00C07921"/>
    <w:rsid w:val="00C07C19"/>
    <w:rsid w:val="00C14E8A"/>
    <w:rsid w:val="00C25D38"/>
    <w:rsid w:val="00C31832"/>
    <w:rsid w:val="00C34A77"/>
    <w:rsid w:val="00C44FCF"/>
    <w:rsid w:val="00C47C4C"/>
    <w:rsid w:val="00C47EF0"/>
    <w:rsid w:val="00C51240"/>
    <w:rsid w:val="00C54A2E"/>
    <w:rsid w:val="00C65FBE"/>
    <w:rsid w:val="00C66CC2"/>
    <w:rsid w:val="00C73C7C"/>
    <w:rsid w:val="00C741CC"/>
    <w:rsid w:val="00C762B9"/>
    <w:rsid w:val="00C77DE1"/>
    <w:rsid w:val="00C80095"/>
    <w:rsid w:val="00C80942"/>
    <w:rsid w:val="00C830F1"/>
    <w:rsid w:val="00C838F5"/>
    <w:rsid w:val="00C847B7"/>
    <w:rsid w:val="00C92D79"/>
    <w:rsid w:val="00CA04D6"/>
    <w:rsid w:val="00CA6FC3"/>
    <w:rsid w:val="00CB13FA"/>
    <w:rsid w:val="00CB1E53"/>
    <w:rsid w:val="00CB2930"/>
    <w:rsid w:val="00CB3396"/>
    <w:rsid w:val="00CB5F91"/>
    <w:rsid w:val="00CB727F"/>
    <w:rsid w:val="00CC66D7"/>
    <w:rsid w:val="00CC7AF6"/>
    <w:rsid w:val="00CD5A66"/>
    <w:rsid w:val="00CD7C9F"/>
    <w:rsid w:val="00CE188D"/>
    <w:rsid w:val="00CE1E99"/>
    <w:rsid w:val="00CE3F1B"/>
    <w:rsid w:val="00CE4E0E"/>
    <w:rsid w:val="00CF260D"/>
    <w:rsid w:val="00CF798D"/>
    <w:rsid w:val="00D05D68"/>
    <w:rsid w:val="00D156A0"/>
    <w:rsid w:val="00D16491"/>
    <w:rsid w:val="00D2145A"/>
    <w:rsid w:val="00D2511F"/>
    <w:rsid w:val="00D25AA5"/>
    <w:rsid w:val="00D25FCA"/>
    <w:rsid w:val="00D27070"/>
    <w:rsid w:val="00D31719"/>
    <w:rsid w:val="00D31C4A"/>
    <w:rsid w:val="00D323F1"/>
    <w:rsid w:val="00D330AA"/>
    <w:rsid w:val="00D35F0B"/>
    <w:rsid w:val="00D46CA6"/>
    <w:rsid w:val="00D527F6"/>
    <w:rsid w:val="00D5598A"/>
    <w:rsid w:val="00D66333"/>
    <w:rsid w:val="00D729C8"/>
    <w:rsid w:val="00D84580"/>
    <w:rsid w:val="00D87324"/>
    <w:rsid w:val="00D92242"/>
    <w:rsid w:val="00DA048B"/>
    <w:rsid w:val="00DA0AFB"/>
    <w:rsid w:val="00DA12DD"/>
    <w:rsid w:val="00DA1B27"/>
    <w:rsid w:val="00DB20A0"/>
    <w:rsid w:val="00DB61FF"/>
    <w:rsid w:val="00DD2121"/>
    <w:rsid w:val="00DD2D11"/>
    <w:rsid w:val="00DD44D0"/>
    <w:rsid w:val="00DD5EE0"/>
    <w:rsid w:val="00DE2765"/>
    <w:rsid w:val="00DE6D9F"/>
    <w:rsid w:val="00DF07E8"/>
    <w:rsid w:val="00DF0BF7"/>
    <w:rsid w:val="00DF1922"/>
    <w:rsid w:val="00DF463C"/>
    <w:rsid w:val="00E013D0"/>
    <w:rsid w:val="00E107F6"/>
    <w:rsid w:val="00E2064B"/>
    <w:rsid w:val="00E21FCB"/>
    <w:rsid w:val="00E25E73"/>
    <w:rsid w:val="00E27775"/>
    <w:rsid w:val="00E31C5C"/>
    <w:rsid w:val="00E3270E"/>
    <w:rsid w:val="00E336C9"/>
    <w:rsid w:val="00E34EC7"/>
    <w:rsid w:val="00E412B9"/>
    <w:rsid w:val="00E41AAD"/>
    <w:rsid w:val="00E45674"/>
    <w:rsid w:val="00E50916"/>
    <w:rsid w:val="00E53759"/>
    <w:rsid w:val="00E554FE"/>
    <w:rsid w:val="00E57098"/>
    <w:rsid w:val="00E67BF1"/>
    <w:rsid w:val="00E716EF"/>
    <w:rsid w:val="00E75E35"/>
    <w:rsid w:val="00E76BE4"/>
    <w:rsid w:val="00E77729"/>
    <w:rsid w:val="00E834EC"/>
    <w:rsid w:val="00E850F5"/>
    <w:rsid w:val="00E869BA"/>
    <w:rsid w:val="00E91B55"/>
    <w:rsid w:val="00E922E9"/>
    <w:rsid w:val="00E94ADD"/>
    <w:rsid w:val="00E95C48"/>
    <w:rsid w:val="00E96545"/>
    <w:rsid w:val="00EA1B03"/>
    <w:rsid w:val="00EA4AA9"/>
    <w:rsid w:val="00EB1B2D"/>
    <w:rsid w:val="00EB337F"/>
    <w:rsid w:val="00EB77B5"/>
    <w:rsid w:val="00EB7EE2"/>
    <w:rsid w:val="00EC7097"/>
    <w:rsid w:val="00EC70DC"/>
    <w:rsid w:val="00ED5F97"/>
    <w:rsid w:val="00ED6015"/>
    <w:rsid w:val="00EE63BF"/>
    <w:rsid w:val="00EE72FE"/>
    <w:rsid w:val="00EE797F"/>
    <w:rsid w:val="00EF357E"/>
    <w:rsid w:val="00EF7031"/>
    <w:rsid w:val="00EF712F"/>
    <w:rsid w:val="00F000A0"/>
    <w:rsid w:val="00F02239"/>
    <w:rsid w:val="00F1274A"/>
    <w:rsid w:val="00F264E4"/>
    <w:rsid w:val="00F30F1A"/>
    <w:rsid w:val="00F315A3"/>
    <w:rsid w:val="00F41CB0"/>
    <w:rsid w:val="00F44809"/>
    <w:rsid w:val="00F473FD"/>
    <w:rsid w:val="00F5140F"/>
    <w:rsid w:val="00F56D6D"/>
    <w:rsid w:val="00F604D4"/>
    <w:rsid w:val="00F60728"/>
    <w:rsid w:val="00F61CC8"/>
    <w:rsid w:val="00F634FF"/>
    <w:rsid w:val="00F63557"/>
    <w:rsid w:val="00F6376A"/>
    <w:rsid w:val="00F6659A"/>
    <w:rsid w:val="00F745F7"/>
    <w:rsid w:val="00F74F2D"/>
    <w:rsid w:val="00F80480"/>
    <w:rsid w:val="00F80676"/>
    <w:rsid w:val="00F827F7"/>
    <w:rsid w:val="00F8431A"/>
    <w:rsid w:val="00F85D6A"/>
    <w:rsid w:val="00F8643B"/>
    <w:rsid w:val="00F9042C"/>
    <w:rsid w:val="00F93895"/>
    <w:rsid w:val="00F93D12"/>
    <w:rsid w:val="00FA0B24"/>
    <w:rsid w:val="00FA4BDD"/>
    <w:rsid w:val="00FA4CA0"/>
    <w:rsid w:val="00FA50D8"/>
    <w:rsid w:val="00FA6F12"/>
    <w:rsid w:val="00FB08A0"/>
    <w:rsid w:val="00FB0937"/>
    <w:rsid w:val="00FB2B35"/>
    <w:rsid w:val="00FB4A76"/>
    <w:rsid w:val="00FB4EB2"/>
    <w:rsid w:val="00FB6689"/>
    <w:rsid w:val="00FC2E7E"/>
    <w:rsid w:val="00FD5009"/>
    <w:rsid w:val="00FE0624"/>
    <w:rsid w:val="00FE25C4"/>
    <w:rsid w:val="00FE2ABF"/>
    <w:rsid w:val="00FE6F46"/>
    <w:rsid w:val="00FF6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paragraph" w:customStyle="1" w:styleId="Standard">
    <w:name w:val="Standard"/>
    <w:rsid w:val="00637CBC"/>
    <w:pPr>
      <w:suppressAutoHyphens/>
      <w:autoSpaceDN w:val="0"/>
      <w:spacing w:line="240" w:lineRule="auto"/>
      <w:textAlignment w:val="baseline"/>
    </w:pPr>
    <w:rPr>
      <w:rFonts w:ascii="Calibri" w:eastAsia="SimSun" w:hAnsi="Calibri" w:cs="F"/>
      <w:kern w:val="3"/>
    </w:rPr>
  </w:style>
  <w:style w:type="paragraph" w:styleId="Tekstprzypisudolnego">
    <w:name w:val="footnote text"/>
    <w:basedOn w:val="Standard"/>
    <w:link w:val="TekstprzypisudolnegoZnak"/>
    <w:rsid w:val="00637CBC"/>
    <w:pPr>
      <w:spacing w:after="0"/>
    </w:pPr>
    <w:rPr>
      <w:sz w:val="20"/>
      <w:szCs w:val="20"/>
    </w:rPr>
  </w:style>
  <w:style w:type="character" w:customStyle="1" w:styleId="TekstprzypisudolnegoZnak">
    <w:name w:val="Tekst przypisu dolnego Znak"/>
    <w:basedOn w:val="Domylnaczcionkaakapitu"/>
    <w:link w:val="Tekstprzypisudolnego"/>
    <w:rsid w:val="00637CBC"/>
    <w:rPr>
      <w:rFonts w:ascii="Calibri" w:eastAsia="SimSun" w:hAnsi="Calibri" w:cs="F"/>
      <w:kern w:val="3"/>
      <w:sz w:val="20"/>
      <w:szCs w:val="20"/>
    </w:rPr>
  </w:style>
  <w:style w:type="character" w:styleId="Odwoanieprzypisudolnego">
    <w:name w:val="footnote reference"/>
    <w:rsid w:val="00637CBC"/>
    <w:rPr>
      <w:position w:val="0"/>
      <w:vertAlign w:val="superscript"/>
    </w:rPr>
  </w:style>
  <w:style w:type="numbering" w:customStyle="1" w:styleId="WWNum18">
    <w:name w:val="WWNum18"/>
    <w:basedOn w:val="Bezlisty"/>
    <w:rsid w:val="00637CBC"/>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737C9-76D2-4096-8351-926170E0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23</Pages>
  <Words>9256</Words>
  <Characters>55542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104</cp:revision>
  <cp:lastPrinted>2020-04-23T12:23:00Z</cp:lastPrinted>
  <dcterms:created xsi:type="dcterms:W3CDTF">2017-12-29T08:12:00Z</dcterms:created>
  <dcterms:modified xsi:type="dcterms:W3CDTF">2020-04-24T08:47:00Z</dcterms:modified>
</cp:coreProperties>
</file>